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48" w:rsidRPr="00E95148" w:rsidRDefault="00E95148" w:rsidP="00E95148">
      <w:pPr>
        <w:pStyle w:val="Title"/>
        <w:jc w:val="center"/>
        <w:outlineLvl w:val="0"/>
        <w:rPr>
          <w:rFonts w:ascii="Times New Roman" w:hAnsi="Times New Roman" w:cs="Times New Roman"/>
          <w:color w:val="000000" w:themeColor="text1"/>
          <w:sz w:val="28"/>
          <w:szCs w:val="28"/>
        </w:rPr>
      </w:pPr>
      <w:bookmarkStart w:id="0" w:name="_Toc354517416"/>
      <w:r w:rsidRPr="00E95148">
        <w:rPr>
          <w:rFonts w:ascii="Times New Roman" w:hAnsi="Times New Roman" w:cs="Times New Roman"/>
          <w:color w:val="000000" w:themeColor="text1"/>
          <w:sz w:val="28"/>
          <w:szCs w:val="28"/>
        </w:rPr>
        <w:t xml:space="preserve">Global </w:t>
      </w:r>
      <w:proofErr w:type="spellStart"/>
      <w:r w:rsidRPr="00E95148">
        <w:rPr>
          <w:rFonts w:ascii="Times New Roman" w:hAnsi="Times New Roman" w:cs="Times New Roman"/>
          <w:color w:val="000000" w:themeColor="text1"/>
          <w:sz w:val="28"/>
          <w:szCs w:val="28"/>
        </w:rPr>
        <w:t>Crisis</w:t>
      </w:r>
      <w:proofErr w:type="spellEnd"/>
      <w:r w:rsidRPr="00E95148">
        <w:rPr>
          <w:rFonts w:ascii="Times New Roman" w:hAnsi="Times New Roman" w:cs="Times New Roman"/>
          <w:color w:val="000000" w:themeColor="text1"/>
          <w:sz w:val="28"/>
          <w:szCs w:val="28"/>
        </w:rPr>
        <w:t xml:space="preserve"> of 2008 and </w:t>
      </w:r>
      <w:proofErr w:type="spellStart"/>
      <w:r w:rsidRPr="00E95148">
        <w:rPr>
          <w:rFonts w:ascii="Times New Roman" w:hAnsi="Times New Roman" w:cs="Times New Roman"/>
          <w:color w:val="000000" w:themeColor="text1"/>
          <w:sz w:val="28"/>
          <w:szCs w:val="28"/>
        </w:rPr>
        <w:t>its</w:t>
      </w:r>
      <w:proofErr w:type="spellEnd"/>
      <w:r w:rsidRPr="00E95148">
        <w:rPr>
          <w:rFonts w:ascii="Times New Roman" w:hAnsi="Times New Roman" w:cs="Times New Roman"/>
          <w:color w:val="000000" w:themeColor="text1"/>
          <w:sz w:val="28"/>
          <w:szCs w:val="28"/>
        </w:rPr>
        <w:t xml:space="preserve"> </w:t>
      </w:r>
      <w:proofErr w:type="spellStart"/>
      <w:r w:rsidRPr="00E95148">
        <w:rPr>
          <w:rFonts w:ascii="Times New Roman" w:hAnsi="Times New Roman" w:cs="Times New Roman"/>
          <w:color w:val="000000" w:themeColor="text1"/>
          <w:sz w:val="28"/>
          <w:szCs w:val="28"/>
        </w:rPr>
        <w:t>Effects</w:t>
      </w:r>
      <w:proofErr w:type="spellEnd"/>
      <w:r w:rsidRPr="00E95148">
        <w:rPr>
          <w:rFonts w:ascii="Times New Roman" w:hAnsi="Times New Roman" w:cs="Times New Roman"/>
          <w:color w:val="000000" w:themeColor="text1"/>
          <w:sz w:val="28"/>
          <w:szCs w:val="28"/>
        </w:rPr>
        <w:t xml:space="preserve"> on an </w:t>
      </w:r>
      <w:proofErr w:type="spellStart"/>
      <w:r w:rsidRPr="00E95148">
        <w:rPr>
          <w:rFonts w:ascii="Times New Roman" w:hAnsi="Times New Roman" w:cs="Times New Roman"/>
          <w:color w:val="000000" w:themeColor="text1"/>
          <w:sz w:val="28"/>
          <w:szCs w:val="28"/>
        </w:rPr>
        <w:t>Emerging</w:t>
      </w:r>
      <w:proofErr w:type="spellEnd"/>
      <w:r w:rsidRPr="00E95148">
        <w:rPr>
          <w:rFonts w:ascii="Times New Roman" w:hAnsi="Times New Roman" w:cs="Times New Roman"/>
          <w:color w:val="000000" w:themeColor="text1"/>
          <w:sz w:val="28"/>
          <w:szCs w:val="28"/>
        </w:rPr>
        <w:t xml:space="preserve"> </w:t>
      </w:r>
      <w:proofErr w:type="spellStart"/>
      <w:r w:rsidRPr="00E95148">
        <w:rPr>
          <w:rFonts w:ascii="Times New Roman" w:hAnsi="Times New Roman" w:cs="Times New Roman"/>
          <w:color w:val="000000" w:themeColor="text1"/>
          <w:sz w:val="28"/>
          <w:szCs w:val="28"/>
        </w:rPr>
        <w:t>Economy</w:t>
      </w:r>
      <w:proofErr w:type="spellEnd"/>
      <w:r w:rsidRPr="00E95148">
        <w:rPr>
          <w:rFonts w:ascii="Times New Roman" w:hAnsi="Times New Roman" w:cs="Times New Roman"/>
          <w:color w:val="000000" w:themeColor="text1"/>
          <w:sz w:val="28"/>
          <w:szCs w:val="28"/>
        </w:rPr>
        <w:t xml:space="preserve"> of </w:t>
      </w:r>
      <w:proofErr w:type="spellStart"/>
      <w:r w:rsidRPr="00E95148">
        <w:rPr>
          <w:rFonts w:ascii="Times New Roman" w:hAnsi="Times New Roman" w:cs="Times New Roman"/>
          <w:color w:val="000000" w:themeColor="text1"/>
          <w:sz w:val="28"/>
          <w:szCs w:val="28"/>
        </w:rPr>
        <w:t>Turkey’s</w:t>
      </w:r>
      <w:proofErr w:type="spellEnd"/>
      <w:r w:rsidRPr="00E95148">
        <w:rPr>
          <w:rFonts w:ascii="Times New Roman" w:hAnsi="Times New Roman" w:cs="Times New Roman"/>
          <w:color w:val="000000" w:themeColor="text1"/>
          <w:sz w:val="28"/>
          <w:szCs w:val="28"/>
        </w:rPr>
        <w:t xml:space="preserve"> </w:t>
      </w:r>
      <w:proofErr w:type="spellStart"/>
      <w:r w:rsidRPr="00E95148">
        <w:rPr>
          <w:rFonts w:ascii="Times New Roman" w:hAnsi="Times New Roman" w:cs="Times New Roman"/>
          <w:color w:val="000000" w:themeColor="text1"/>
          <w:sz w:val="28"/>
          <w:szCs w:val="28"/>
        </w:rPr>
        <w:t>Growth</w:t>
      </w:r>
      <w:proofErr w:type="spellEnd"/>
      <w:r w:rsidRPr="00E95148">
        <w:rPr>
          <w:rFonts w:ascii="Times New Roman" w:hAnsi="Times New Roman" w:cs="Times New Roman"/>
          <w:color w:val="000000" w:themeColor="text1"/>
          <w:sz w:val="28"/>
          <w:szCs w:val="28"/>
        </w:rPr>
        <w:t xml:space="preserve"> </w:t>
      </w:r>
      <w:proofErr w:type="spellStart"/>
      <w:r w:rsidRPr="00E95148">
        <w:rPr>
          <w:rFonts w:ascii="Times New Roman" w:hAnsi="Times New Roman" w:cs="Times New Roman"/>
          <w:color w:val="000000" w:themeColor="text1"/>
          <w:sz w:val="28"/>
          <w:szCs w:val="28"/>
        </w:rPr>
        <w:t>Process</w:t>
      </w:r>
      <w:bookmarkEnd w:id="0"/>
      <w:proofErr w:type="spellEnd"/>
      <w:r w:rsidRPr="00E95148">
        <w:rPr>
          <w:rFonts w:ascii="Times New Roman" w:hAnsi="Times New Roman" w:cs="Times New Roman"/>
          <w:color w:val="000000" w:themeColor="text1"/>
          <w:sz w:val="28"/>
          <w:szCs w:val="28"/>
        </w:rPr>
        <w:t xml:space="preserve"> </w:t>
      </w:r>
    </w:p>
    <w:p w:rsidR="00E95148" w:rsidRPr="00E95148" w:rsidRDefault="00E95148" w:rsidP="00E95148">
      <w:pPr>
        <w:pStyle w:val="NoSpacing"/>
        <w:spacing w:line="240" w:lineRule="auto"/>
        <w:jc w:val="center"/>
        <w:outlineLvl w:val="1"/>
        <w:rPr>
          <w:rFonts w:ascii="Times New Roman" w:hAnsi="Times New Roman"/>
          <w:b/>
          <w:color w:val="000000" w:themeColor="text1"/>
        </w:rPr>
      </w:pPr>
      <w:bookmarkStart w:id="1" w:name="_Toc354517417"/>
      <w:r w:rsidRPr="00E95148">
        <w:rPr>
          <w:rFonts w:ascii="Times New Roman" w:hAnsi="Times New Roman"/>
          <w:b/>
          <w:color w:val="000000" w:themeColor="text1"/>
        </w:rPr>
        <w:t xml:space="preserve">Bilge </w:t>
      </w:r>
      <w:proofErr w:type="spellStart"/>
      <w:r w:rsidRPr="00E95148">
        <w:rPr>
          <w:rFonts w:ascii="Times New Roman" w:hAnsi="Times New Roman"/>
          <w:b/>
          <w:color w:val="000000" w:themeColor="text1"/>
        </w:rPr>
        <w:t>Afşar</w:t>
      </w:r>
      <w:bookmarkEnd w:id="1"/>
      <w:proofErr w:type="spellEnd"/>
    </w:p>
    <w:p w:rsidR="00E95148" w:rsidRPr="00E95148" w:rsidRDefault="00E95148" w:rsidP="00E95148">
      <w:pPr>
        <w:jc w:val="center"/>
        <w:rPr>
          <w:i/>
          <w:color w:val="000000" w:themeColor="text1"/>
          <w:sz w:val="22"/>
          <w:szCs w:val="22"/>
          <w:lang w:val="en-US"/>
        </w:rPr>
      </w:pPr>
      <w:r w:rsidRPr="00E95148">
        <w:rPr>
          <w:i/>
          <w:color w:val="000000" w:themeColor="text1"/>
          <w:sz w:val="22"/>
          <w:szCs w:val="22"/>
          <w:lang w:val="en-GB" w:eastAsia="en-US"/>
        </w:rPr>
        <w:t xml:space="preserve">KTO </w:t>
      </w:r>
      <w:proofErr w:type="spellStart"/>
      <w:r w:rsidRPr="00E95148">
        <w:rPr>
          <w:i/>
          <w:color w:val="000000" w:themeColor="text1"/>
          <w:sz w:val="22"/>
          <w:szCs w:val="22"/>
          <w:lang w:val="en-GB" w:eastAsia="en-US"/>
        </w:rPr>
        <w:t>Karatay</w:t>
      </w:r>
      <w:proofErr w:type="spellEnd"/>
      <w:r w:rsidRPr="00E95148">
        <w:rPr>
          <w:i/>
          <w:color w:val="000000" w:themeColor="text1"/>
          <w:sz w:val="22"/>
          <w:szCs w:val="22"/>
          <w:lang w:val="en-GB" w:eastAsia="en-US"/>
        </w:rPr>
        <w:t xml:space="preserve"> University</w:t>
      </w:r>
      <w:r w:rsidRPr="00E95148">
        <w:rPr>
          <w:i/>
          <w:color w:val="000000" w:themeColor="text1"/>
          <w:sz w:val="22"/>
          <w:szCs w:val="22"/>
          <w:lang w:val="en-US"/>
        </w:rPr>
        <w:t xml:space="preserve">, </w:t>
      </w:r>
      <w:r w:rsidRPr="00E95148">
        <w:rPr>
          <w:i/>
          <w:color w:val="000000" w:themeColor="text1"/>
          <w:sz w:val="22"/>
          <w:szCs w:val="22"/>
          <w:lang w:val="en-GB" w:eastAsia="en-US"/>
        </w:rPr>
        <w:t>Konya, Turkey</w:t>
      </w:r>
    </w:p>
    <w:p w:rsidR="00E95148" w:rsidRPr="00E95148" w:rsidRDefault="003632F6" w:rsidP="00E95148">
      <w:pPr>
        <w:jc w:val="center"/>
        <w:rPr>
          <w:color w:val="000000" w:themeColor="text1"/>
          <w:sz w:val="22"/>
          <w:szCs w:val="22"/>
          <w:lang w:val="en-US"/>
        </w:rPr>
      </w:pPr>
      <w:hyperlink r:id="rId8">
        <w:r w:rsidR="00E95148" w:rsidRPr="00E95148">
          <w:rPr>
            <w:rStyle w:val="InternetLink"/>
            <w:color w:val="000000" w:themeColor="text1"/>
            <w:sz w:val="22"/>
            <w:szCs w:val="22"/>
            <w:u w:val="none"/>
            <w:lang w:val="en-GB"/>
          </w:rPr>
          <w:t>bilge.afsar@karatay.edu.tr</w:t>
        </w:r>
      </w:hyperlink>
    </w:p>
    <w:p w:rsidR="00E95148" w:rsidRPr="00E95148" w:rsidRDefault="00E95148" w:rsidP="00E95148">
      <w:pPr>
        <w:jc w:val="center"/>
        <w:rPr>
          <w:color w:val="000000" w:themeColor="text1"/>
          <w:sz w:val="22"/>
          <w:szCs w:val="22"/>
          <w:lang w:val="en-US"/>
        </w:rPr>
      </w:pPr>
    </w:p>
    <w:p w:rsidR="00E95148" w:rsidRPr="00E95148" w:rsidRDefault="00E95148" w:rsidP="00E95148">
      <w:pPr>
        <w:pStyle w:val="NoSpacing"/>
        <w:spacing w:line="240" w:lineRule="auto"/>
        <w:jc w:val="center"/>
        <w:outlineLvl w:val="1"/>
        <w:rPr>
          <w:rFonts w:ascii="Times New Roman" w:hAnsi="Times New Roman"/>
          <w:b/>
          <w:color w:val="000000" w:themeColor="text1"/>
        </w:rPr>
      </w:pPr>
      <w:r w:rsidRPr="00E95148">
        <w:rPr>
          <w:rFonts w:ascii="Times New Roman" w:hAnsi="Times New Roman"/>
          <w:b/>
          <w:color w:val="000000" w:themeColor="text1"/>
        </w:rPr>
        <w:t xml:space="preserve">  </w:t>
      </w:r>
      <w:bookmarkStart w:id="2" w:name="_Toc354517418"/>
      <w:proofErr w:type="spellStart"/>
      <w:r w:rsidRPr="00E95148">
        <w:rPr>
          <w:rFonts w:ascii="Times New Roman" w:hAnsi="Times New Roman"/>
          <w:b/>
          <w:color w:val="000000" w:themeColor="text1"/>
        </w:rPr>
        <w:t>Birol</w:t>
      </w:r>
      <w:proofErr w:type="spellEnd"/>
      <w:r w:rsidRPr="00E95148">
        <w:rPr>
          <w:rFonts w:ascii="Times New Roman" w:hAnsi="Times New Roman"/>
          <w:b/>
          <w:color w:val="000000" w:themeColor="text1"/>
        </w:rPr>
        <w:t xml:space="preserve"> </w:t>
      </w:r>
      <w:proofErr w:type="spellStart"/>
      <w:r w:rsidRPr="00E95148">
        <w:rPr>
          <w:rFonts w:ascii="Times New Roman" w:hAnsi="Times New Roman"/>
          <w:b/>
          <w:color w:val="000000" w:themeColor="text1"/>
        </w:rPr>
        <w:t>Büyükdoğan</w:t>
      </w:r>
      <w:bookmarkEnd w:id="2"/>
      <w:proofErr w:type="spellEnd"/>
      <w:r w:rsidRPr="00E95148">
        <w:rPr>
          <w:rFonts w:ascii="Times New Roman" w:hAnsi="Times New Roman"/>
          <w:b/>
          <w:color w:val="000000" w:themeColor="text1"/>
        </w:rPr>
        <w:t xml:space="preserve"> </w:t>
      </w:r>
    </w:p>
    <w:p w:rsidR="00E95148" w:rsidRPr="00E95148" w:rsidRDefault="00E95148" w:rsidP="00E95148">
      <w:pPr>
        <w:jc w:val="center"/>
        <w:rPr>
          <w:i/>
          <w:color w:val="000000" w:themeColor="text1"/>
          <w:sz w:val="22"/>
          <w:szCs w:val="22"/>
          <w:lang w:val="en-US"/>
        </w:rPr>
      </w:pPr>
      <w:r w:rsidRPr="00E95148">
        <w:rPr>
          <w:i/>
          <w:color w:val="000000" w:themeColor="text1"/>
          <w:sz w:val="22"/>
          <w:szCs w:val="22"/>
          <w:lang w:val="en-GB" w:eastAsia="en-US"/>
        </w:rPr>
        <w:t xml:space="preserve">KTO </w:t>
      </w:r>
      <w:proofErr w:type="spellStart"/>
      <w:r w:rsidRPr="00E95148">
        <w:rPr>
          <w:i/>
          <w:color w:val="000000" w:themeColor="text1"/>
          <w:sz w:val="22"/>
          <w:szCs w:val="22"/>
          <w:lang w:val="en-GB" w:eastAsia="en-US"/>
        </w:rPr>
        <w:t>Karatay</w:t>
      </w:r>
      <w:proofErr w:type="spellEnd"/>
      <w:r w:rsidRPr="00E95148">
        <w:rPr>
          <w:i/>
          <w:color w:val="000000" w:themeColor="text1"/>
          <w:sz w:val="22"/>
          <w:szCs w:val="22"/>
          <w:lang w:val="en-GB" w:eastAsia="en-US"/>
        </w:rPr>
        <w:t xml:space="preserve"> University</w:t>
      </w:r>
      <w:r w:rsidRPr="00E95148">
        <w:rPr>
          <w:i/>
          <w:color w:val="000000" w:themeColor="text1"/>
          <w:sz w:val="22"/>
          <w:szCs w:val="22"/>
          <w:lang w:val="en-US"/>
        </w:rPr>
        <w:t xml:space="preserve">, </w:t>
      </w:r>
      <w:r w:rsidRPr="00E95148">
        <w:rPr>
          <w:i/>
          <w:color w:val="000000" w:themeColor="text1"/>
          <w:sz w:val="22"/>
          <w:szCs w:val="22"/>
          <w:lang w:val="en-GB" w:eastAsia="en-US"/>
        </w:rPr>
        <w:t>Konya, Turkey</w:t>
      </w:r>
    </w:p>
    <w:p w:rsidR="00E95148" w:rsidRPr="00E95148" w:rsidRDefault="00E95148" w:rsidP="00E95148">
      <w:pPr>
        <w:jc w:val="center"/>
        <w:rPr>
          <w:color w:val="000000" w:themeColor="text1"/>
          <w:sz w:val="22"/>
          <w:szCs w:val="22"/>
          <w:lang w:val="en-US"/>
        </w:rPr>
      </w:pPr>
    </w:p>
    <w:p w:rsidR="00E95148" w:rsidRPr="00E95148" w:rsidRDefault="00E95148" w:rsidP="00E95148">
      <w:pPr>
        <w:pStyle w:val="NoSpacing"/>
        <w:spacing w:line="240" w:lineRule="auto"/>
        <w:jc w:val="center"/>
        <w:outlineLvl w:val="1"/>
        <w:rPr>
          <w:rFonts w:ascii="Times New Roman" w:hAnsi="Times New Roman"/>
          <w:b/>
          <w:color w:val="000000" w:themeColor="text1"/>
        </w:rPr>
      </w:pPr>
      <w:r w:rsidRPr="00E95148">
        <w:rPr>
          <w:rFonts w:ascii="Times New Roman" w:hAnsi="Times New Roman"/>
          <w:color w:val="000000" w:themeColor="text1"/>
          <w:lang w:val="tr-TR" w:eastAsia="en-US"/>
        </w:rPr>
        <w:t xml:space="preserve">  </w:t>
      </w:r>
      <w:bookmarkStart w:id="3" w:name="_Toc354517419"/>
      <w:proofErr w:type="spellStart"/>
      <w:r w:rsidRPr="00E95148">
        <w:rPr>
          <w:rFonts w:ascii="Times New Roman" w:hAnsi="Times New Roman"/>
          <w:b/>
          <w:color w:val="000000" w:themeColor="text1"/>
        </w:rPr>
        <w:t>Hasan</w:t>
      </w:r>
      <w:proofErr w:type="spellEnd"/>
      <w:r w:rsidRPr="00E95148">
        <w:rPr>
          <w:rFonts w:ascii="Times New Roman" w:hAnsi="Times New Roman"/>
          <w:b/>
          <w:color w:val="000000" w:themeColor="text1"/>
        </w:rPr>
        <w:t xml:space="preserve"> </w:t>
      </w:r>
      <w:proofErr w:type="spellStart"/>
      <w:r w:rsidRPr="00E95148">
        <w:rPr>
          <w:rFonts w:ascii="Times New Roman" w:hAnsi="Times New Roman"/>
          <w:b/>
          <w:color w:val="000000" w:themeColor="text1"/>
        </w:rPr>
        <w:t>Gedik</w:t>
      </w:r>
      <w:bookmarkEnd w:id="3"/>
      <w:proofErr w:type="spellEnd"/>
      <w:r w:rsidRPr="00E95148">
        <w:rPr>
          <w:rFonts w:ascii="Times New Roman" w:hAnsi="Times New Roman"/>
          <w:b/>
          <w:color w:val="000000" w:themeColor="text1"/>
        </w:rPr>
        <w:t xml:space="preserve"> </w:t>
      </w:r>
    </w:p>
    <w:p w:rsidR="00E95148" w:rsidRPr="00E95148" w:rsidRDefault="00E95148" w:rsidP="00E95148">
      <w:pPr>
        <w:jc w:val="center"/>
        <w:rPr>
          <w:i/>
          <w:color w:val="000000" w:themeColor="text1"/>
          <w:sz w:val="22"/>
          <w:szCs w:val="22"/>
          <w:lang w:val="en-US"/>
        </w:rPr>
      </w:pPr>
      <w:r w:rsidRPr="00E95148">
        <w:rPr>
          <w:i/>
          <w:color w:val="000000" w:themeColor="text1"/>
          <w:sz w:val="22"/>
          <w:szCs w:val="22"/>
          <w:lang w:val="en-GB" w:eastAsia="en-US"/>
        </w:rPr>
        <w:t xml:space="preserve">KTO </w:t>
      </w:r>
      <w:proofErr w:type="spellStart"/>
      <w:r w:rsidRPr="00E95148">
        <w:rPr>
          <w:i/>
          <w:color w:val="000000" w:themeColor="text1"/>
          <w:sz w:val="22"/>
          <w:szCs w:val="22"/>
          <w:lang w:val="en-GB" w:eastAsia="en-US"/>
        </w:rPr>
        <w:t>Karatay</w:t>
      </w:r>
      <w:proofErr w:type="spellEnd"/>
      <w:r w:rsidRPr="00E95148">
        <w:rPr>
          <w:i/>
          <w:color w:val="000000" w:themeColor="text1"/>
          <w:sz w:val="22"/>
          <w:szCs w:val="22"/>
          <w:lang w:val="en-GB" w:eastAsia="en-US"/>
        </w:rPr>
        <w:t xml:space="preserve"> University</w:t>
      </w:r>
      <w:r w:rsidRPr="00E95148">
        <w:rPr>
          <w:i/>
          <w:color w:val="000000" w:themeColor="text1"/>
          <w:sz w:val="22"/>
          <w:szCs w:val="22"/>
          <w:lang w:val="en-US"/>
        </w:rPr>
        <w:t xml:space="preserve">, </w:t>
      </w:r>
      <w:r w:rsidRPr="00E95148">
        <w:rPr>
          <w:i/>
          <w:color w:val="000000" w:themeColor="text1"/>
          <w:sz w:val="22"/>
          <w:szCs w:val="22"/>
          <w:lang w:val="en-GB" w:eastAsia="en-US"/>
        </w:rPr>
        <w:t>Konya, Turkey</w:t>
      </w:r>
    </w:p>
    <w:p w:rsidR="00285B9A" w:rsidRPr="00B34A11" w:rsidRDefault="00285B9A" w:rsidP="00DC0765">
      <w:pPr>
        <w:jc w:val="center"/>
        <w:rPr>
          <w:b/>
          <w:noProof/>
          <w:sz w:val="22"/>
          <w:szCs w:val="22"/>
          <w:lang w:val="en-US"/>
        </w:rPr>
      </w:pP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7B2D43" w:rsidRPr="007B2D43" w:rsidRDefault="007B2D43" w:rsidP="007B2D43">
      <w:pPr>
        <w:ind w:left="567" w:right="567"/>
        <w:jc w:val="both"/>
        <w:rPr>
          <w:noProof/>
          <w:sz w:val="22"/>
          <w:szCs w:val="22"/>
          <w:lang w:val="en-US"/>
        </w:rPr>
      </w:pPr>
      <w:r w:rsidRPr="007B2D43">
        <w:rPr>
          <w:noProof/>
          <w:sz w:val="22"/>
          <w:szCs w:val="22"/>
          <w:lang w:val="en-US"/>
        </w:rPr>
        <w:t>By the year 1980 with a new world order began to take shape more clearly, the crisis started to gain global feature. All economies involved in the global system were forced to play the role given by the new order. In this study, within the framework of this new order, effects of the last global crisis of 2008, and the rising economy in Turkey will be discussed. At the same time the course and speed of the effects of the crisis will be revealed. The basis of the study which is enriched by the statistical studies will be formed by self effects as well as the taken and applied economic decisions. In the first section, the process after the national crisis that Turkey had experienced since 2001 will be evaluated. It has been identified that Turkey has shown a negative growth from 2002 to 2008. In 2009, Turkey experienced strict contraction and began to recover in 2010. However, experiencing the growth rate of 7.7% until 2009 has emerged as a contradiction since the growth rate was 4.5% even in the 1950s. Today, if this rate is not increased, convergence is inevitable, which is the focal point of the study. Another focal point of the study is, the next 10-year period in Turkey's contribution to production due to the young population will peak of the active population, and will develop a low risk banking system and the goal of being the 10th greatest country by the year 2023. In the case of what can be done to achieve that goal; Interest and inflation will not increase but followed more loosely program than in the past, maintenance of the external source input and the others.</w:t>
      </w:r>
    </w:p>
    <w:p w:rsidR="007B2D43" w:rsidRPr="007B2D43" w:rsidRDefault="007B2D43" w:rsidP="007B2D43">
      <w:pPr>
        <w:ind w:left="567" w:right="567"/>
        <w:jc w:val="both"/>
        <w:rPr>
          <w:noProof/>
          <w:sz w:val="22"/>
          <w:szCs w:val="22"/>
          <w:lang w:val="en-US"/>
        </w:rPr>
      </w:pPr>
    </w:p>
    <w:p w:rsidR="007B2D43" w:rsidRPr="007B2D43" w:rsidRDefault="007B2D43" w:rsidP="007B2D43">
      <w:pPr>
        <w:ind w:left="567" w:right="567"/>
        <w:jc w:val="both"/>
        <w:rPr>
          <w:noProof/>
          <w:sz w:val="22"/>
          <w:szCs w:val="22"/>
          <w:lang w:val="en-US"/>
        </w:rPr>
      </w:pPr>
      <w:r>
        <w:rPr>
          <w:b/>
          <w:noProof/>
          <w:sz w:val="22"/>
          <w:szCs w:val="22"/>
          <w:lang w:val="en-US"/>
        </w:rPr>
        <w:t>Keyw</w:t>
      </w:r>
      <w:r w:rsidRPr="007B2D43">
        <w:rPr>
          <w:b/>
          <w:noProof/>
          <w:sz w:val="22"/>
          <w:szCs w:val="22"/>
          <w:lang w:val="en-US"/>
        </w:rPr>
        <w:t>ords:</w:t>
      </w:r>
      <w:r w:rsidRPr="007B2D43">
        <w:rPr>
          <w:noProof/>
          <w:sz w:val="22"/>
          <w:szCs w:val="22"/>
          <w:lang w:val="en-US"/>
        </w:rPr>
        <w:t xml:space="preserve"> Global Crisis, Turkey, Emerging Economy, Expansion, Economics</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D45885" w:rsidRDefault="00D45885" w:rsidP="00D45885">
      <w:pPr>
        <w:ind w:right="43"/>
        <w:jc w:val="both"/>
        <w:outlineLvl w:val="1"/>
        <w:rPr>
          <w:b/>
          <w:bCs/>
          <w:lang w:val="en-US"/>
        </w:rPr>
      </w:pPr>
      <w:r w:rsidRPr="00D45885">
        <w:rPr>
          <w:b/>
          <w:bCs/>
          <w:lang w:val="en-US"/>
        </w:rPr>
        <w:t>Introduction</w:t>
      </w:r>
    </w:p>
    <w:p w:rsidR="00D45885" w:rsidRPr="00D45885" w:rsidRDefault="00D45885" w:rsidP="00D45885">
      <w:pPr>
        <w:ind w:right="43"/>
        <w:jc w:val="both"/>
        <w:outlineLvl w:val="1"/>
        <w:rPr>
          <w:b/>
          <w:bCs/>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Turkey economy, particularly after 1980,   as   a </w:t>
      </w:r>
      <w:proofErr w:type="gramStart"/>
      <w:r w:rsidRPr="00D45885">
        <w:rPr>
          <w:rFonts w:eastAsiaTheme="minorEastAsia"/>
          <w:lang w:val="en-US"/>
        </w:rPr>
        <w:t>result  of</w:t>
      </w:r>
      <w:proofErr w:type="gramEnd"/>
      <w:r w:rsidRPr="00D45885">
        <w:rPr>
          <w:rFonts w:eastAsiaTheme="minorEastAsia"/>
          <w:lang w:val="en-US"/>
        </w:rPr>
        <w:t xml:space="preserve">  both  internal  and  external   dynamics,  experiences   numerous   crises.  These crises   experienced made the   growth, qualified as increase in   production capacity, unstable. This instability negatively affected   the national   income </w:t>
      </w:r>
      <w:proofErr w:type="gramStart"/>
      <w:r w:rsidRPr="00D45885">
        <w:rPr>
          <w:rFonts w:eastAsiaTheme="minorEastAsia"/>
          <w:lang w:val="en-US"/>
        </w:rPr>
        <w:t>per  capita</w:t>
      </w:r>
      <w:proofErr w:type="gramEnd"/>
      <w:r w:rsidRPr="00D45885">
        <w:rPr>
          <w:rFonts w:eastAsiaTheme="minorEastAsia"/>
          <w:lang w:val="en-US"/>
        </w:rPr>
        <w:t xml:space="preserve">.  When these  crises  of interest  are  combined  with political  and  economic  negative developments, it  is  observed  that  the  serious falls  in growth   rate.  With  2001  National  Crisis  is overcome,  in  the   process  ranging  to   2008  Global  Crisis,  growth  rate  actualized  over  5s%. The </w:t>
      </w:r>
      <w:proofErr w:type="gramStart"/>
      <w:r w:rsidRPr="00D45885">
        <w:rPr>
          <w:rFonts w:eastAsiaTheme="minorEastAsia"/>
          <w:lang w:val="en-US"/>
        </w:rPr>
        <w:t>realizations  in</w:t>
      </w:r>
      <w:proofErr w:type="gramEnd"/>
      <w:r w:rsidRPr="00D45885">
        <w:rPr>
          <w:rFonts w:eastAsiaTheme="minorEastAsia"/>
          <w:lang w:val="en-US"/>
        </w:rPr>
        <w:t xml:space="preserve"> growth  directly affect the  other  areas  of  economy. The aim  of this study  is  to  discuss  the  effects   of 2008  Global  Crisis,  one   of  crises   affecting  Turkey,  on  growth   process of  Turkey.  </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b/>
          <w:lang w:val="en-US"/>
        </w:rPr>
      </w:pPr>
    </w:p>
    <w:p w:rsidR="00D45885" w:rsidRDefault="00D45885" w:rsidP="00D45885">
      <w:pPr>
        <w:ind w:right="43"/>
        <w:jc w:val="both"/>
        <w:outlineLvl w:val="1"/>
        <w:rPr>
          <w:b/>
          <w:bCs/>
          <w:lang w:val="en-US"/>
        </w:rPr>
      </w:pPr>
      <w:r w:rsidRPr="00D45885">
        <w:rPr>
          <w:b/>
          <w:bCs/>
          <w:lang w:val="en-US"/>
        </w:rPr>
        <w:t xml:space="preserve">The Concepts Economic Growth and Crisis </w:t>
      </w:r>
    </w:p>
    <w:p w:rsidR="00D45885" w:rsidRPr="00D45885" w:rsidRDefault="00D45885" w:rsidP="00D45885">
      <w:pPr>
        <w:ind w:right="43"/>
        <w:jc w:val="both"/>
        <w:outlineLvl w:val="1"/>
        <w:rPr>
          <w:b/>
          <w:bCs/>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Growth,  one  of  the  oldest   targets  of   societies  (Soule and </w:t>
      </w:r>
      <w:proofErr w:type="spellStart"/>
      <w:r w:rsidRPr="00D45885">
        <w:rPr>
          <w:rFonts w:eastAsiaTheme="minorEastAsia"/>
          <w:lang w:val="en-US"/>
        </w:rPr>
        <w:t>Antell</w:t>
      </w:r>
      <w:proofErr w:type="spellEnd"/>
      <w:r w:rsidRPr="00D45885">
        <w:rPr>
          <w:rFonts w:eastAsiaTheme="minorEastAsia"/>
          <w:lang w:val="en-US"/>
        </w:rPr>
        <w:t>, 2001: 327 )  and  expressed  as  increase  in  income, is  measured by  the  increases  in real Gross  Domestic  Product (GDP)  (</w:t>
      </w:r>
      <w:proofErr w:type="spellStart"/>
      <w:r w:rsidRPr="00D45885">
        <w:rPr>
          <w:rFonts w:eastAsiaTheme="minorEastAsia"/>
          <w:lang w:val="en-US"/>
        </w:rPr>
        <w:t>Parasız</w:t>
      </w:r>
      <w:proofErr w:type="spellEnd"/>
      <w:r w:rsidRPr="00D45885">
        <w:rPr>
          <w:rFonts w:eastAsiaTheme="minorEastAsia"/>
          <w:lang w:val="en-US"/>
        </w:rPr>
        <w:t>, 2003: 10). Also</w:t>
      </w:r>
      <w:proofErr w:type="gramStart"/>
      <w:r w:rsidRPr="00D45885">
        <w:rPr>
          <w:rFonts w:eastAsiaTheme="minorEastAsia"/>
          <w:lang w:val="en-US"/>
        </w:rPr>
        <w:t>,  in</w:t>
      </w:r>
      <w:proofErr w:type="gramEnd"/>
      <w:r w:rsidRPr="00D45885">
        <w:rPr>
          <w:rFonts w:eastAsiaTheme="minorEastAsia"/>
          <w:lang w:val="en-US"/>
        </w:rPr>
        <w:t xml:space="preserve">  order   to  be able  the vicious circle  of poverty,  it was considered  as a  necessary condition (</w:t>
      </w:r>
      <w:proofErr w:type="spellStart"/>
      <w:r w:rsidRPr="00D45885">
        <w:rPr>
          <w:rFonts w:eastAsiaTheme="minorEastAsia"/>
          <w:lang w:val="en-US"/>
        </w:rPr>
        <w:t>Yılmaz</w:t>
      </w:r>
      <w:proofErr w:type="spellEnd"/>
      <w:r w:rsidRPr="00D45885">
        <w:rPr>
          <w:rFonts w:eastAsiaTheme="minorEastAsia"/>
          <w:lang w:val="en-US"/>
        </w:rPr>
        <w:t xml:space="preserve"> and </w:t>
      </w:r>
      <w:proofErr w:type="spellStart"/>
      <w:r w:rsidRPr="00D45885">
        <w:rPr>
          <w:rFonts w:eastAsiaTheme="minorEastAsia"/>
          <w:lang w:val="en-US"/>
        </w:rPr>
        <w:t>Akıncı</w:t>
      </w:r>
      <w:proofErr w:type="spellEnd"/>
      <w:r w:rsidRPr="00D45885">
        <w:rPr>
          <w:rFonts w:eastAsiaTheme="minorEastAsia"/>
          <w:lang w:val="en-US"/>
        </w:rPr>
        <w:t xml:space="preserve">, 2012).  </w:t>
      </w:r>
      <w:proofErr w:type="gramStart"/>
      <w:r w:rsidRPr="00D45885">
        <w:rPr>
          <w:rFonts w:eastAsiaTheme="minorEastAsia"/>
          <w:lang w:val="en-US"/>
        </w:rPr>
        <w:t>Growth  is</w:t>
      </w:r>
      <w:proofErr w:type="gramEnd"/>
      <w:r w:rsidRPr="00D45885">
        <w:rPr>
          <w:rFonts w:eastAsiaTheme="minorEastAsia"/>
          <w:lang w:val="en-US"/>
        </w:rPr>
        <w:t xml:space="preserve">  analyzed via  variations occurring  from  year  to  year.  But, it  is  not reasonable  to  assess   the increase or  decrease in  growth with  the  figures  of   only  one  year.  For example,  positive   growth expresses  the  continuous and  permanent  increase  in income level, not an increase  for  one time  (</w:t>
      </w:r>
      <w:proofErr w:type="spellStart"/>
      <w:r w:rsidRPr="00D45885">
        <w:rPr>
          <w:rFonts w:eastAsiaTheme="minorEastAsia"/>
          <w:lang w:val="en-US"/>
        </w:rPr>
        <w:t>Ülgener</w:t>
      </w:r>
      <w:proofErr w:type="spellEnd"/>
      <w:r w:rsidRPr="00D45885">
        <w:rPr>
          <w:rFonts w:eastAsiaTheme="minorEastAsia"/>
          <w:lang w:val="en-US"/>
        </w:rPr>
        <w:t>, 1980: 408-412).  Together with  increase of crises,  the fruit  of  capitalism i.e. the disruptions  in economic balance (</w:t>
      </w:r>
      <w:proofErr w:type="spellStart"/>
      <w:r w:rsidRPr="00D45885">
        <w:rPr>
          <w:rFonts w:eastAsiaTheme="minorEastAsia"/>
          <w:lang w:val="en-US"/>
        </w:rPr>
        <w:t>Eğilmez</w:t>
      </w:r>
      <w:proofErr w:type="spellEnd"/>
      <w:r w:rsidRPr="00D45885">
        <w:rPr>
          <w:rFonts w:eastAsiaTheme="minorEastAsia"/>
          <w:lang w:val="en-US"/>
        </w:rPr>
        <w:t xml:space="preserve">, 2012: 167), growth was begun  to be scrutinized  not  only  quantitatively  but   also  qualitatively.  Thus,  provided  that  the  increase  in  growth rose   the  income per capita,  it was  begun  to  be  emphasized  that it was reflected  on the individual  as development and   welfare. The welfare  and development  of  the  individual  comes  to  our  face  as  final  aim  of growth.  But, </w:t>
      </w:r>
      <w:proofErr w:type="gramStart"/>
      <w:r w:rsidRPr="00D45885">
        <w:rPr>
          <w:rFonts w:eastAsiaTheme="minorEastAsia"/>
          <w:lang w:val="en-US"/>
        </w:rPr>
        <w:t>the  crises</w:t>
      </w:r>
      <w:proofErr w:type="gramEnd"/>
      <w:r w:rsidRPr="00D45885">
        <w:rPr>
          <w:rFonts w:eastAsiaTheme="minorEastAsia"/>
          <w:lang w:val="en-US"/>
        </w:rPr>
        <w:t xml:space="preserve"> interrupting  the ordinary course damage to   this  final   aim.  </w:t>
      </w:r>
      <w:proofErr w:type="gramStart"/>
      <w:r w:rsidRPr="00D45885">
        <w:rPr>
          <w:rFonts w:eastAsiaTheme="minorEastAsia"/>
          <w:lang w:val="en-US"/>
        </w:rPr>
        <w:t>Togetherness  of</w:t>
      </w:r>
      <w:proofErr w:type="gramEnd"/>
      <w:r w:rsidRPr="00D45885">
        <w:rPr>
          <w:rFonts w:eastAsiaTheme="minorEastAsia"/>
          <w:lang w:val="en-US"/>
        </w:rPr>
        <w:t xml:space="preserve"> crisis  and  growth  presents   the answer  of   the question  “Why is   growth  desired  in economic meaning?”  </w:t>
      </w:r>
      <w:proofErr w:type="gramStart"/>
      <w:r w:rsidRPr="00D45885">
        <w:rPr>
          <w:rFonts w:eastAsiaTheme="minorEastAsia"/>
          <w:lang w:val="en-US"/>
        </w:rPr>
        <w:t>more  clearly</w:t>
      </w:r>
      <w:proofErr w:type="gramEnd"/>
      <w:r w:rsidRPr="00D45885">
        <w:rPr>
          <w:rFonts w:eastAsiaTheme="minorEastAsia"/>
          <w:lang w:val="en-US"/>
        </w:rPr>
        <w:t xml:space="preserve">   so  that growth  targets  on  the  society  and its   development. The  desired  growth  is   the one  that gives  a  chance  to  save to  the individual and society about  future, distributes  the increase  in  welfare  justly, encourage  the human development making a contribution  to  the  society, and realize it (Berber, 2004: 6 ). </w:t>
      </w:r>
      <w:proofErr w:type="gramStart"/>
      <w:r w:rsidRPr="00D45885">
        <w:rPr>
          <w:rFonts w:eastAsiaTheme="minorEastAsia"/>
          <w:lang w:val="en-US"/>
        </w:rPr>
        <w:t>Provided  that</w:t>
      </w:r>
      <w:proofErr w:type="gramEnd"/>
      <w:r w:rsidRPr="00D45885">
        <w:rPr>
          <w:rFonts w:eastAsiaTheme="minorEastAsia"/>
          <w:lang w:val="en-US"/>
        </w:rPr>
        <w:t xml:space="preserve"> the growth enabled all  of  these,  the dimension of development  and  welfare  is proceeded.  What </w:t>
      </w:r>
      <w:proofErr w:type="gramStart"/>
      <w:r w:rsidRPr="00D45885">
        <w:rPr>
          <w:rFonts w:eastAsiaTheme="minorEastAsia"/>
          <w:lang w:val="en-US"/>
        </w:rPr>
        <w:t>already  implied</w:t>
      </w:r>
      <w:proofErr w:type="gramEnd"/>
      <w:r w:rsidRPr="00D45885">
        <w:rPr>
          <w:rFonts w:eastAsiaTheme="minorEastAsia"/>
          <w:lang w:val="en-US"/>
        </w:rPr>
        <w:t xml:space="preserve"> with  economic  growth  is  the  growth free from price increases i.e. real growth  (</w:t>
      </w:r>
      <w:proofErr w:type="spellStart"/>
      <w:r w:rsidRPr="00D45885">
        <w:rPr>
          <w:rFonts w:eastAsiaTheme="minorEastAsia"/>
          <w:lang w:val="en-US"/>
        </w:rPr>
        <w:t>Eğilmez</w:t>
      </w:r>
      <w:proofErr w:type="spellEnd"/>
      <w:r w:rsidRPr="00D45885">
        <w:rPr>
          <w:rFonts w:eastAsiaTheme="minorEastAsia"/>
          <w:lang w:val="en-US"/>
        </w:rPr>
        <w:t xml:space="preserve">, 2012: 38).     </w:t>
      </w:r>
    </w:p>
    <w:p w:rsidR="00D45885" w:rsidRPr="00D45885" w:rsidRDefault="00D45885" w:rsidP="00D45885">
      <w:pPr>
        <w:ind w:firstLine="663"/>
        <w:jc w:val="both"/>
        <w:rPr>
          <w:rFonts w:eastAsiaTheme="minorEastAsia"/>
          <w:lang w:val="en-US"/>
        </w:rPr>
      </w:pPr>
    </w:p>
    <w:p w:rsidR="00D45885" w:rsidRDefault="00D45885" w:rsidP="00D45885">
      <w:pPr>
        <w:ind w:right="43"/>
        <w:jc w:val="both"/>
        <w:outlineLvl w:val="1"/>
        <w:rPr>
          <w:b/>
          <w:bCs/>
          <w:lang w:val="en-US"/>
        </w:rPr>
      </w:pPr>
      <w:proofErr w:type="gramStart"/>
      <w:r w:rsidRPr="00D45885">
        <w:rPr>
          <w:b/>
          <w:bCs/>
          <w:lang w:val="en-US"/>
        </w:rPr>
        <w:t>2008  Global</w:t>
      </w:r>
      <w:proofErr w:type="gramEnd"/>
      <w:r w:rsidRPr="00D45885">
        <w:rPr>
          <w:b/>
          <w:bCs/>
          <w:lang w:val="en-US"/>
        </w:rPr>
        <w:t xml:space="preserve">  Crisis And Growth Process  of  Turkey  That Is   An  Emerging  Economy  </w:t>
      </w:r>
    </w:p>
    <w:p w:rsidR="00D45885" w:rsidRPr="00D45885" w:rsidRDefault="00D45885" w:rsidP="00D45885">
      <w:pPr>
        <w:ind w:right="43"/>
        <w:jc w:val="both"/>
        <w:outlineLvl w:val="1"/>
        <w:rPr>
          <w:b/>
          <w:bCs/>
          <w:lang w:val="en-US"/>
        </w:rPr>
      </w:pPr>
    </w:p>
    <w:p w:rsidR="00D45885" w:rsidRPr="00D45885" w:rsidRDefault="00D45885" w:rsidP="00D45885">
      <w:pPr>
        <w:ind w:right="-5"/>
        <w:jc w:val="both"/>
        <w:rPr>
          <w:rFonts w:eastAsiaTheme="minorEastAsia"/>
          <w:lang w:val="en-US"/>
        </w:rPr>
      </w:pPr>
      <w:r w:rsidRPr="00D45885">
        <w:rPr>
          <w:rFonts w:eastAsiaTheme="minorEastAsia"/>
          <w:lang w:val="en-US"/>
        </w:rPr>
        <w:t>In the second half of  the  year 2008, the essence  of  crisis  reaching  global  dimension  is  the problems experienced in mortgage  market in US (</w:t>
      </w:r>
      <w:proofErr w:type="spellStart"/>
      <w:r w:rsidRPr="00D45885">
        <w:rPr>
          <w:rFonts w:eastAsiaTheme="minorEastAsia"/>
          <w:lang w:val="en-US"/>
        </w:rPr>
        <w:t>Susam</w:t>
      </w:r>
      <w:proofErr w:type="spellEnd"/>
      <w:r w:rsidRPr="00D45885">
        <w:rPr>
          <w:rFonts w:eastAsiaTheme="minorEastAsia"/>
          <w:lang w:val="en-US"/>
        </w:rPr>
        <w:t xml:space="preserve"> </w:t>
      </w:r>
      <w:proofErr w:type="spellStart"/>
      <w:r w:rsidRPr="00D45885">
        <w:rPr>
          <w:rFonts w:eastAsiaTheme="minorEastAsia"/>
          <w:lang w:val="en-US"/>
        </w:rPr>
        <w:t>ve</w:t>
      </w:r>
      <w:proofErr w:type="spellEnd"/>
      <w:r w:rsidRPr="00D45885">
        <w:rPr>
          <w:rFonts w:eastAsiaTheme="minorEastAsia"/>
          <w:lang w:val="en-US"/>
        </w:rPr>
        <w:t xml:space="preserve"> </w:t>
      </w:r>
      <w:proofErr w:type="spellStart"/>
      <w:r w:rsidRPr="00D45885">
        <w:rPr>
          <w:rFonts w:eastAsiaTheme="minorEastAsia"/>
          <w:lang w:val="en-US"/>
        </w:rPr>
        <w:t>Bakkal</w:t>
      </w:r>
      <w:proofErr w:type="spellEnd"/>
      <w:r w:rsidRPr="00D45885">
        <w:rPr>
          <w:rFonts w:eastAsiaTheme="minorEastAsia"/>
          <w:lang w:val="en-US"/>
        </w:rPr>
        <w:t xml:space="preserve">, 2008:73).  </w:t>
      </w:r>
      <w:proofErr w:type="gramStart"/>
      <w:r w:rsidRPr="00D45885">
        <w:rPr>
          <w:rFonts w:eastAsiaTheme="minorEastAsia"/>
          <w:lang w:val="en-US"/>
        </w:rPr>
        <w:t>Turkey  entering</w:t>
      </w:r>
      <w:proofErr w:type="gramEnd"/>
      <w:r w:rsidRPr="00D45885">
        <w:rPr>
          <w:rFonts w:eastAsiaTheme="minorEastAsia"/>
          <w:lang w:val="en-US"/>
        </w:rPr>
        <w:t xml:space="preserve">  a serious  recession period with crisis caught the stability via the fiscal and  monetary  policies  applied . But </w:t>
      </w:r>
      <w:proofErr w:type="gramStart"/>
      <w:r w:rsidRPr="00D45885">
        <w:rPr>
          <w:rFonts w:eastAsiaTheme="minorEastAsia"/>
          <w:lang w:val="en-US"/>
        </w:rPr>
        <w:t>this  stability</w:t>
      </w:r>
      <w:proofErr w:type="gramEnd"/>
      <w:r w:rsidRPr="00D45885">
        <w:rPr>
          <w:rFonts w:eastAsiaTheme="minorEastAsia"/>
          <w:lang w:val="en-US"/>
        </w:rPr>
        <w:t xml:space="preserve">  was badly  affected  from the  global  crisis  unavoidably. This exposure  made  itself   evident  in  especially  in  growth   rate  so  that,  together   with  crisis,   slowing  occurred   in  the  growth rates  of both  the developed  and   developing countries, not  only  of  Turkey. while  the  growth   rate  of  world   economy  was 5% in 2007,  it fell   to  3s% in 2009 (</w:t>
      </w:r>
      <w:proofErr w:type="spellStart"/>
      <w:r w:rsidRPr="00D45885">
        <w:rPr>
          <w:rFonts w:eastAsiaTheme="minorEastAsia"/>
          <w:lang w:val="en-US"/>
        </w:rPr>
        <w:t>Susam</w:t>
      </w:r>
      <w:proofErr w:type="spellEnd"/>
      <w:r w:rsidRPr="00D45885">
        <w:rPr>
          <w:rFonts w:eastAsiaTheme="minorEastAsia"/>
          <w:lang w:val="en-US"/>
        </w:rPr>
        <w:t xml:space="preserve"> and  </w:t>
      </w:r>
      <w:proofErr w:type="spellStart"/>
      <w:r w:rsidRPr="00D45885">
        <w:rPr>
          <w:rFonts w:eastAsiaTheme="minorEastAsia"/>
          <w:lang w:val="en-US"/>
        </w:rPr>
        <w:t>Bakkal</w:t>
      </w:r>
      <w:proofErr w:type="spellEnd"/>
      <w:r w:rsidRPr="00D45885">
        <w:rPr>
          <w:rFonts w:eastAsiaTheme="minorEastAsia"/>
          <w:lang w:val="en-US"/>
        </w:rPr>
        <w:t>, 2008: 77 ).  While Turkey  recorded  a growth of  1.1% in  average  between 1997 and  2001, this  average  became 7.2% in  average between 2002 – 2006  (</w:t>
      </w:r>
      <w:proofErr w:type="spellStart"/>
      <w:r w:rsidRPr="00D45885">
        <w:rPr>
          <w:rFonts w:eastAsiaTheme="minorEastAsia"/>
          <w:lang w:val="en-US"/>
        </w:rPr>
        <w:t>Kesici</w:t>
      </w:r>
      <w:proofErr w:type="spellEnd"/>
      <w:r w:rsidRPr="00D45885">
        <w:rPr>
          <w:rFonts w:eastAsiaTheme="minorEastAsia"/>
          <w:lang w:val="en-US"/>
        </w:rPr>
        <w:t>, 2010: 12 ).  Together with this  crisis,  not  only  in  Turkey but   also  all over   the  world, the values  of national  income, employment, credit,  and  foreign trade experienced  the  greatest  fall after 2</w:t>
      </w:r>
      <w:r w:rsidRPr="00D45885">
        <w:rPr>
          <w:rFonts w:eastAsiaTheme="minorEastAsia"/>
          <w:vertAlign w:val="superscript"/>
          <w:lang w:val="en-US"/>
        </w:rPr>
        <w:t>nd</w:t>
      </w:r>
      <w:r w:rsidRPr="00D45885">
        <w:rPr>
          <w:rFonts w:eastAsiaTheme="minorEastAsia"/>
          <w:lang w:val="en-US"/>
        </w:rPr>
        <w:t xml:space="preserve"> World War (</w:t>
      </w:r>
      <w:proofErr w:type="spellStart"/>
      <w:r w:rsidRPr="00D45885">
        <w:rPr>
          <w:rFonts w:eastAsiaTheme="minorEastAsia"/>
          <w:lang w:val="en-US"/>
        </w:rPr>
        <w:t>Aydoğuş</w:t>
      </w:r>
      <w:proofErr w:type="spellEnd"/>
      <w:r w:rsidRPr="00D45885">
        <w:rPr>
          <w:rFonts w:eastAsiaTheme="minorEastAsia"/>
          <w:lang w:val="en-US"/>
        </w:rPr>
        <w:t xml:space="preserve">, 2009: 31 ).  In  Turkey  economy,  The   growth   that   fell  together  with  crisis  was  followed   by the  regression  in  foreign trade and  increase  in  budgetary  deficit. In </w:t>
      </w:r>
      <w:proofErr w:type="gramStart"/>
      <w:r w:rsidRPr="00D45885">
        <w:rPr>
          <w:rFonts w:eastAsiaTheme="minorEastAsia"/>
          <w:lang w:val="en-US"/>
        </w:rPr>
        <w:t>response  to</w:t>
      </w:r>
      <w:proofErr w:type="gramEnd"/>
      <w:r w:rsidRPr="00D45885">
        <w:rPr>
          <w:rFonts w:eastAsiaTheme="minorEastAsia"/>
          <w:lang w:val="en-US"/>
        </w:rPr>
        <w:t xml:space="preserve"> these  negativities,  current  deficit  fell and  interests  regressed.  The financial   sector  damaging  in the  national  crisis  in  2001, with  loosening  the monetary  and fiscal  policies and going   to  interest reduction (</w:t>
      </w:r>
      <w:proofErr w:type="spellStart"/>
      <w:r w:rsidRPr="00D45885">
        <w:rPr>
          <w:rFonts w:eastAsiaTheme="minorEastAsia"/>
          <w:lang w:val="en-US"/>
        </w:rPr>
        <w:t>Eğilmez</w:t>
      </w:r>
      <w:proofErr w:type="spellEnd"/>
      <w:r w:rsidRPr="00D45885">
        <w:rPr>
          <w:rFonts w:eastAsiaTheme="minorEastAsia"/>
          <w:lang w:val="en-US"/>
        </w:rPr>
        <w:t xml:space="preserve"> and </w:t>
      </w:r>
      <w:proofErr w:type="spellStart"/>
      <w:r w:rsidRPr="00D45885">
        <w:rPr>
          <w:rFonts w:eastAsiaTheme="minorEastAsia"/>
          <w:lang w:val="en-US"/>
        </w:rPr>
        <w:t>Kumcu</w:t>
      </w:r>
      <w:proofErr w:type="spellEnd"/>
      <w:r w:rsidRPr="00D45885">
        <w:rPr>
          <w:rFonts w:eastAsiaTheme="minorEastAsia"/>
          <w:lang w:val="en-US"/>
        </w:rPr>
        <w:t xml:space="preserve">, 2011: 362),  reached   the position  of   finding  the  real  sector  to be  able to  give credit.  But, in  the  last  crisis, real  sector  was  also  damaged,  so   that as  experienced  in  the year  2008, the  most  important  characteristic  of economic system  entering  crisis and the symptom  of crisis </w:t>
      </w:r>
      <w:r w:rsidRPr="00D45885">
        <w:rPr>
          <w:rFonts w:eastAsiaTheme="minorEastAsia"/>
          <w:lang w:val="en-US"/>
        </w:rPr>
        <w:lastRenderedPageBreak/>
        <w:t xml:space="preserve">became mistrust prevailing  in  markets  (User, 2009: 1). </w:t>
      </w:r>
      <w:proofErr w:type="gramStart"/>
      <w:r w:rsidRPr="00D45885">
        <w:rPr>
          <w:rFonts w:eastAsiaTheme="minorEastAsia"/>
          <w:lang w:val="en-US"/>
        </w:rPr>
        <w:t>This  also</w:t>
      </w:r>
      <w:proofErr w:type="gramEnd"/>
      <w:r w:rsidRPr="00D45885">
        <w:rPr>
          <w:rFonts w:eastAsiaTheme="minorEastAsia"/>
          <w:lang w:val="en-US"/>
        </w:rPr>
        <w:t xml:space="preserve"> made itself  evident  seriously in  real  sector.  </w:t>
      </w:r>
    </w:p>
    <w:p w:rsidR="00D45885" w:rsidRPr="00D45885" w:rsidRDefault="00D45885" w:rsidP="00D45885">
      <w:pPr>
        <w:ind w:right="-6"/>
        <w:jc w:val="both"/>
        <w:rPr>
          <w:rFonts w:eastAsiaTheme="minorEastAsia"/>
          <w:lang w:val="en-US"/>
        </w:rPr>
      </w:pPr>
      <w:r w:rsidRPr="00D45885">
        <w:rPr>
          <w:rFonts w:eastAsiaTheme="minorEastAsia"/>
          <w:lang w:val="en-US"/>
        </w:rPr>
        <w:t>The most  important  distinction  of this  crisis  in terms  of  Turkey economy  is  that    chronic inflation was  not   experienced ,  when  crisis set  out  and while  it  was  continuing (</w:t>
      </w:r>
      <w:proofErr w:type="spellStart"/>
      <w:r w:rsidRPr="00D45885">
        <w:rPr>
          <w:rFonts w:eastAsiaTheme="minorEastAsia"/>
          <w:lang w:val="en-US"/>
        </w:rPr>
        <w:t>Akat</w:t>
      </w:r>
      <w:proofErr w:type="spellEnd"/>
      <w:r w:rsidRPr="00D45885">
        <w:rPr>
          <w:rFonts w:eastAsiaTheme="minorEastAsia"/>
          <w:lang w:val="en-US"/>
        </w:rPr>
        <w:t xml:space="preserve">, 2009: 21).  </w:t>
      </w:r>
      <w:proofErr w:type="gramStart"/>
      <w:r w:rsidRPr="00D45885">
        <w:rPr>
          <w:rFonts w:eastAsiaTheme="minorEastAsia"/>
          <w:lang w:val="en-US"/>
        </w:rPr>
        <w:t>Turkey  entered</w:t>
      </w:r>
      <w:proofErr w:type="gramEnd"/>
      <w:r w:rsidRPr="00D45885">
        <w:rPr>
          <w:rFonts w:eastAsiaTheme="minorEastAsia"/>
          <w:lang w:val="en-US"/>
        </w:rPr>
        <w:t xml:space="preserve">  the last   crisis  more  strongly. The other  point   is  also  that  low  inflation, low  interest, and  floating   exchange  rate  is  simultaneously   under  consideration  in  economy.  So, </w:t>
      </w:r>
      <w:proofErr w:type="gramStart"/>
      <w:r w:rsidRPr="00D45885">
        <w:rPr>
          <w:rFonts w:eastAsiaTheme="minorEastAsia"/>
          <w:lang w:val="en-US"/>
        </w:rPr>
        <w:t>for  the</w:t>
      </w:r>
      <w:proofErr w:type="gramEnd"/>
      <w:r w:rsidRPr="00D45885">
        <w:rPr>
          <w:rFonts w:eastAsiaTheme="minorEastAsia"/>
          <w:lang w:val="en-US"/>
        </w:rPr>
        <w:t xml:space="preserve">  savers providing return  with  high  interest,   the new and  different  period   started (</w:t>
      </w:r>
      <w:proofErr w:type="spellStart"/>
      <w:r w:rsidRPr="00D45885">
        <w:rPr>
          <w:rFonts w:eastAsiaTheme="minorEastAsia"/>
          <w:lang w:val="en-US"/>
        </w:rPr>
        <w:t>Akat</w:t>
      </w:r>
      <w:proofErr w:type="spellEnd"/>
      <w:r w:rsidRPr="00D45885">
        <w:rPr>
          <w:rFonts w:eastAsiaTheme="minorEastAsia"/>
          <w:lang w:val="en-US"/>
        </w:rPr>
        <w:t xml:space="preserve">, 2009: 27).  According  to  </w:t>
      </w:r>
      <w:proofErr w:type="spellStart"/>
      <w:r w:rsidRPr="00D45885">
        <w:rPr>
          <w:rFonts w:eastAsiaTheme="minorEastAsia"/>
          <w:lang w:val="en-US"/>
        </w:rPr>
        <w:t>Çolak</w:t>
      </w:r>
      <w:proofErr w:type="spellEnd"/>
      <w:r w:rsidRPr="00D45885">
        <w:rPr>
          <w:rFonts w:eastAsiaTheme="minorEastAsia"/>
          <w:lang w:val="en-US"/>
        </w:rPr>
        <w:t xml:space="preserve"> (2009),  the  recent  global  crisis   collapsed  supply  oriented  economic   policies  becoming popular after 1990 and  ended  the institutional  structuring formed with  these  </w:t>
      </w:r>
      <w:proofErr w:type="spellStart"/>
      <w:r w:rsidRPr="00D45885">
        <w:rPr>
          <w:rFonts w:eastAsiaTheme="minorEastAsia"/>
          <w:lang w:val="en-US"/>
        </w:rPr>
        <w:t>policies.That</w:t>
      </w:r>
      <w:proofErr w:type="spellEnd"/>
      <w:r w:rsidRPr="00D45885">
        <w:rPr>
          <w:rFonts w:eastAsiaTheme="minorEastAsia"/>
          <w:lang w:val="en-US"/>
        </w:rPr>
        <w:t xml:space="preserve">  is government  began  to   be  effective   again in  economy.</w:t>
      </w:r>
    </w:p>
    <w:p w:rsidR="00D45885" w:rsidRPr="00D45885" w:rsidRDefault="00D45885" w:rsidP="00D45885">
      <w:pPr>
        <w:ind w:right="-5" w:firstLineChars="276" w:firstLine="662"/>
        <w:jc w:val="both"/>
        <w:rPr>
          <w:rFonts w:eastAsiaTheme="minorEastAsia"/>
          <w:lang w:val="en-US"/>
        </w:rPr>
      </w:pPr>
    </w:p>
    <w:p w:rsidR="00D45885" w:rsidRPr="00D45885" w:rsidRDefault="00D45885" w:rsidP="00D45885">
      <w:pPr>
        <w:jc w:val="center"/>
        <w:rPr>
          <w:rFonts w:eastAsiaTheme="minorEastAsia"/>
          <w:lang w:val="en-US"/>
        </w:rPr>
      </w:pPr>
      <w:r w:rsidRPr="00D45885">
        <w:rPr>
          <w:rFonts w:eastAsiaTheme="minorEastAsia"/>
          <w:b/>
          <w:lang w:val="en-US"/>
        </w:rPr>
        <w:t>Table 1:</w:t>
      </w:r>
      <w:r w:rsidRPr="00D45885">
        <w:rPr>
          <w:rFonts w:eastAsiaTheme="minorEastAsia"/>
          <w:lang w:val="en-US"/>
        </w:rPr>
        <w:t xml:space="preserve"> National Income </w:t>
      </w:r>
      <w:proofErr w:type="gramStart"/>
      <w:r w:rsidRPr="00D45885">
        <w:rPr>
          <w:rFonts w:eastAsiaTheme="minorEastAsia"/>
          <w:lang w:val="en-US"/>
        </w:rPr>
        <w:t>Figures  /</w:t>
      </w:r>
      <w:proofErr w:type="gramEnd"/>
      <w:r w:rsidRPr="00D45885">
        <w:rPr>
          <w:rFonts w:eastAsiaTheme="minorEastAsia"/>
          <w:lang w:val="en-US"/>
        </w:rPr>
        <w:t xml:space="preserve"> Turkey (2000-2012)</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1122"/>
        <w:gridCol w:w="1736"/>
        <w:gridCol w:w="1843"/>
        <w:gridCol w:w="1709"/>
        <w:gridCol w:w="1869"/>
      </w:tblGrid>
      <w:tr w:rsidR="00D45885" w:rsidRPr="00D45885" w:rsidTr="00766E8D">
        <w:trPr>
          <w:trHeight w:val="1331"/>
          <w:jc w:val="center"/>
        </w:trPr>
        <w:tc>
          <w:tcPr>
            <w:tcW w:w="797" w:type="dxa"/>
            <w:shd w:val="clear" w:color="000000" w:fill="auto"/>
            <w:noWrap/>
            <w:vAlign w:val="center"/>
            <w:hideMark/>
          </w:tcPr>
          <w:p w:rsidR="00D45885" w:rsidRPr="00D45885" w:rsidRDefault="00D45885" w:rsidP="00D45885">
            <w:pPr>
              <w:jc w:val="both"/>
              <w:rPr>
                <w:b/>
                <w:lang w:val="en-US"/>
              </w:rPr>
            </w:pPr>
            <w:r w:rsidRPr="00D45885">
              <w:rPr>
                <w:b/>
                <w:lang w:val="en-US"/>
              </w:rPr>
              <w:t>Year</w:t>
            </w:r>
          </w:p>
        </w:tc>
        <w:tc>
          <w:tcPr>
            <w:tcW w:w="1122" w:type="dxa"/>
            <w:shd w:val="clear" w:color="000000" w:fill="auto"/>
            <w:noWrap/>
            <w:vAlign w:val="center"/>
            <w:hideMark/>
          </w:tcPr>
          <w:p w:rsidR="00D45885" w:rsidRPr="00D45885" w:rsidRDefault="00D45885" w:rsidP="00D45885">
            <w:pPr>
              <w:jc w:val="both"/>
              <w:rPr>
                <w:b/>
                <w:lang w:val="en-US"/>
              </w:rPr>
            </w:pPr>
            <w:r w:rsidRPr="00D45885">
              <w:rPr>
                <w:b/>
                <w:lang w:val="en-US"/>
              </w:rPr>
              <w:t>Quarter</w:t>
            </w:r>
          </w:p>
        </w:tc>
        <w:tc>
          <w:tcPr>
            <w:tcW w:w="1736" w:type="dxa"/>
            <w:shd w:val="clear" w:color="000000" w:fill="auto"/>
            <w:vAlign w:val="center"/>
            <w:hideMark/>
          </w:tcPr>
          <w:p w:rsidR="00D45885" w:rsidRPr="00D45885" w:rsidRDefault="00D45885" w:rsidP="00D45885">
            <w:pPr>
              <w:jc w:val="both"/>
              <w:rPr>
                <w:b/>
                <w:lang w:val="en-US"/>
              </w:rPr>
            </w:pPr>
            <w:r w:rsidRPr="00D45885">
              <w:rPr>
                <w:b/>
                <w:lang w:val="en-US"/>
              </w:rPr>
              <w:t>GDP in current  price (Million TL)</w:t>
            </w:r>
          </w:p>
        </w:tc>
        <w:tc>
          <w:tcPr>
            <w:tcW w:w="1843" w:type="dxa"/>
            <w:shd w:val="clear" w:color="000000" w:fill="auto"/>
            <w:vAlign w:val="center"/>
            <w:hideMark/>
          </w:tcPr>
          <w:p w:rsidR="00D45885" w:rsidRPr="00D45885" w:rsidRDefault="00D45885" w:rsidP="00D45885">
            <w:pPr>
              <w:jc w:val="both"/>
              <w:rPr>
                <w:b/>
                <w:lang w:val="en-US"/>
              </w:rPr>
            </w:pPr>
            <w:r w:rsidRPr="00D45885">
              <w:rPr>
                <w:b/>
                <w:lang w:val="en-US"/>
              </w:rPr>
              <w:t>Development Rate (%)</w:t>
            </w:r>
          </w:p>
        </w:tc>
        <w:tc>
          <w:tcPr>
            <w:tcW w:w="1709" w:type="dxa"/>
            <w:shd w:val="clear" w:color="000000" w:fill="auto"/>
            <w:vAlign w:val="center"/>
            <w:hideMark/>
          </w:tcPr>
          <w:p w:rsidR="00D45885" w:rsidRPr="00D45885" w:rsidRDefault="00D45885" w:rsidP="00D45885">
            <w:pPr>
              <w:jc w:val="both"/>
              <w:rPr>
                <w:b/>
                <w:lang w:val="en-US"/>
              </w:rPr>
            </w:pPr>
            <w:r w:rsidRPr="00D45885">
              <w:rPr>
                <w:b/>
                <w:lang w:val="en-US"/>
              </w:rPr>
              <w:t>GDP with  constant  price (Million TL)</w:t>
            </w:r>
          </w:p>
        </w:tc>
        <w:tc>
          <w:tcPr>
            <w:tcW w:w="1869" w:type="dxa"/>
            <w:shd w:val="clear" w:color="000000" w:fill="auto"/>
            <w:vAlign w:val="center"/>
            <w:hideMark/>
          </w:tcPr>
          <w:p w:rsidR="00D45885" w:rsidRPr="00D45885" w:rsidRDefault="00D45885" w:rsidP="00D45885">
            <w:pPr>
              <w:jc w:val="both"/>
              <w:rPr>
                <w:b/>
                <w:lang w:val="en-US"/>
              </w:rPr>
            </w:pPr>
            <w:r w:rsidRPr="00D45885">
              <w:rPr>
                <w:b/>
                <w:lang w:val="en-US"/>
              </w:rPr>
              <w:t>Development Rate (%)</w:t>
            </w:r>
          </w:p>
        </w:tc>
      </w:tr>
      <w:tr w:rsidR="00D45885" w:rsidRPr="00D45885" w:rsidTr="00766E8D">
        <w:trPr>
          <w:trHeight w:val="329"/>
          <w:jc w:val="center"/>
        </w:trPr>
        <w:tc>
          <w:tcPr>
            <w:tcW w:w="797" w:type="dxa"/>
            <w:vMerge w:val="restart"/>
            <w:shd w:val="clear" w:color="auto" w:fill="auto"/>
            <w:noWrap/>
            <w:vAlign w:val="center"/>
            <w:hideMark/>
          </w:tcPr>
          <w:p w:rsidR="00D45885" w:rsidRPr="00D45885" w:rsidRDefault="00D45885" w:rsidP="00D45885">
            <w:pPr>
              <w:jc w:val="both"/>
              <w:rPr>
                <w:lang w:val="en-US"/>
              </w:rPr>
            </w:pPr>
            <w:r w:rsidRPr="00D45885">
              <w:rPr>
                <w:lang w:val="en-US"/>
              </w:rPr>
              <w:t>2011</w:t>
            </w: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1</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289.905</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20,3</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26.383</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12,4</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2</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317.392</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19,3</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28.083</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9,3</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3</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351.173</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18,6</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31.177</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8,7</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4</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339.243</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14,7</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29.533</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5,3</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b/>
                <w:lang w:val="en-US"/>
              </w:rPr>
            </w:pPr>
            <w:proofErr w:type="spellStart"/>
            <w:r w:rsidRPr="00D45885">
              <w:rPr>
                <w:b/>
                <w:lang w:val="en-US"/>
              </w:rPr>
              <w:t>Annualy</w:t>
            </w:r>
            <w:proofErr w:type="spellEnd"/>
          </w:p>
        </w:tc>
        <w:tc>
          <w:tcPr>
            <w:tcW w:w="1736" w:type="dxa"/>
            <w:shd w:val="clear" w:color="auto" w:fill="auto"/>
            <w:noWrap/>
            <w:vAlign w:val="bottom"/>
            <w:hideMark/>
          </w:tcPr>
          <w:p w:rsidR="00D45885" w:rsidRPr="00D45885" w:rsidRDefault="00D45885" w:rsidP="00D45885">
            <w:pPr>
              <w:jc w:val="both"/>
              <w:rPr>
                <w:b/>
                <w:lang w:val="en-US"/>
              </w:rPr>
            </w:pPr>
            <w:r w:rsidRPr="00D45885">
              <w:rPr>
                <w:b/>
                <w:lang w:val="en-US"/>
              </w:rPr>
              <w:t>1.297.713</w:t>
            </w:r>
          </w:p>
        </w:tc>
        <w:tc>
          <w:tcPr>
            <w:tcW w:w="1843" w:type="dxa"/>
            <w:shd w:val="clear" w:color="auto" w:fill="auto"/>
            <w:noWrap/>
            <w:vAlign w:val="bottom"/>
            <w:hideMark/>
          </w:tcPr>
          <w:p w:rsidR="00D45885" w:rsidRPr="00D45885" w:rsidRDefault="00D45885" w:rsidP="00D45885">
            <w:pPr>
              <w:jc w:val="both"/>
              <w:rPr>
                <w:b/>
                <w:lang w:val="en-US"/>
              </w:rPr>
            </w:pPr>
            <w:r w:rsidRPr="00D45885">
              <w:rPr>
                <w:b/>
                <w:lang w:val="en-US"/>
              </w:rPr>
              <w:t>18,1</w:t>
            </w:r>
          </w:p>
        </w:tc>
        <w:tc>
          <w:tcPr>
            <w:tcW w:w="1709" w:type="dxa"/>
            <w:shd w:val="clear" w:color="auto" w:fill="auto"/>
            <w:noWrap/>
            <w:vAlign w:val="bottom"/>
            <w:hideMark/>
          </w:tcPr>
          <w:p w:rsidR="00D45885" w:rsidRPr="00D45885" w:rsidRDefault="00D45885" w:rsidP="00D45885">
            <w:pPr>
              <w:jc w:val="both"/>
              <w:rPr>
                <w:b/>
                <w:lang w:val="en-US"/>
              </w:rPr>
            </w:pPr>
            <w:r w:rsidRPr="00D45885">
              <w:rPr>
                <w:b/>
                <w:lang w:val="en-US"/>
              </w:rPr>
              <w:t>115.174</w:t>
            </w:r>
          </w:p>
        </w:tc>
        <w:tc>
          <w:tcPr>
            <w:tcW w:w="1869" w:type="dxa"/>
            <w:shd w:val="clear" w:color="auto" w:fill="auto"/>
            <w:noWrap/>
            <w:vAlign w:val="bottom"/>
            <w:hideMark/>
          </w:tcPr>
          <w:p w:rsidR="00D45885" w:rsidRPr="00D45885" w:rsidRDefault="00D45885" w:rsidP="00D45885">
            <w:pPr>
              <w:jc w:val="both"/>
              <w:rPr>
                <w:b/>
                <w:lang w:val="en-US"/>
              </w:rPr>
            </w:pPr>
            <w:r w:rsidRPr="00D45885">
              <w:rPr>
                <w:b/>
                <w:lang w:val="en-US"/>
              </w:rPr>
              <w:t>8,8</w:t>
            </w:r>
          </w:p>
        </w:tc>
      </w:tr>
      <w:tr w:rsidR="00D45885" w:rsidRPr="00D45885" w:rsidTr="00766E8D">
        <w:trPr>
          <w:trHeight w:val="329"/>
          <w:jc w:val="center"/>
        </w:trPr>
        <w:tc>
          <w:tcPr>
            <w:tcW w:w="797" w:type="dxa"/>
            <w:vMerge w:val="restart"/>
            <w:shd w:val="clear" w:color="auto" w:fill="auto"/>
            <w:noWrap/>
            <w:vAlign w:val="center"/>
            <w:hideMark/>
          </w:tcPr>
          <w:p w:rsidR="00D45885" w:rsidRPr="00D45885" w:rsidRDefault="00D45885" w:rsidP="00D45885">
            <w:pPr>
              <w:jc w:val="both"/>
              <w:rPr>
                <w:lang w:val="en-US"/>
              </w:rPr>
            </w:pPr>
            <w:r w:rsidRPr="00D45885">
              <w:rPr>
                <w:lang w:val="en-US"/>
              </w:rPr>
              <w:t>2012</w:t>
            </w: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1</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326.880</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12,8</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27.257</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3,3</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2</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346.340</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10,1</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28.895</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2,9</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3</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376.419</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7,2</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31.667</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1,6</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r w:rsidRPr="00D45885">
              <w:rPr>
                <w:lang w:val="en-US"/>
              </w:rPr>
              <w:t>4</w:t>
            </w: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364.177</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7,4</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29.935</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1,4</w:t>
            </w:r>
          </w:p>
        </w:tc>
      </w:tr>
      <w:tr w:rsidR="00D45885" w:rsidRPr="00D45885" w:rsidTr="00766E8D">
        <w:trPr>
          <w:trHeight w:val="329"/>
          <w:jc w:val="center"/>
        </w:trPr>
        <w:tc>
          <w:tcPr>
            <w:tcW w:w="797" w:type="dxa"/>
            <w:vMerge/>
            <w:vAlign w:val="center"/>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b/>
                <w:lang w:val="en-US"/>
              </w:rPr>
            </w:pPr>
            <w:proofErr w:type="spellStart"/>
            <w:r w:rsidRPr="00D45885">
              <w:rPr>
                <w:b/>
                <w:lang w:val="en-US"/>
              </w:rPr>
              <w:t>Annualy</w:t>
            </w:r>
            <w:proofErr w:type="spellEnd"/>
          </w:p>
        </w:tc>
        <w:tc>
          <w:tcPr>
            <w:tcW w:w="1736" w:type="dxa"/>
            <w:shd w:val="clear" w:color="auto" w:fill="auto"/>
            <w:noWrap/>
            <w:vAlign w:val="bottom"/>
            <w:hideMark/>
          </w:tcPr>
          <w:p w:rsidR="00D45885" w:rsidRPr="00D45885" w:rsidRDefault="00D45885" w:rsidP="00D45885">
            <w:pPr>
              <w:jc w:val="both"/>
              <w:rPr>
                <w:b/>
                <w:lang w:val="en-US"/>
              </w:rPr>
            </w:pPr>
            <w:r w:rsidRPr="00D45885">
              <w:rPr>
                <w:b/>
                <w:lang w:val="en-US"/>
              </w:rPr>
              <w:t>1.416.817</w:t>
            </w:r>
          </w:p>
        </w:tc>
        <w:tc>
          <w:tcPr>
            <w:tcW w:w="1843" w:type="dxa"/>
            <w:shd w:val="clear" w:color="auto" w:fill="auto"/>
            <w:noWrap/>
            <w:vAlign w:val="bottom"/>
            <w:hideMark/>
          </w:tcPr>
          <w:p w:rsidR="00D45885" w:rsidRPr="00D45885" w:rsidRDefault="00D45885" w:rsidP="00D45885">
            <w:pPr>
              <w:jc w:val="both"/>
              <w:rPr>
                <w:b/>
                <w:lang w:val="en-US"/>
              </w:rPr>
            </w:pPr>
            <w:r w:rsidRPr="00D45885">
              <w:rPr>
                <w:b/>
                <w:lang w:val="en-US"/>
              </w:rPr>
              <w:t>9,2</w:t>
            </w:r>
          </w:p>
        </w:tc>
        <w:tc>
          <w:tcPr>
            <w:tcW w:w="1709" w:type="dxa"/>
            <w:shd w:val="clear" w:color="auto" w:fill="auto"/>
            <w:noWrap/>
            <w:vAlign w:val="bottom"/>
            <w:hideMark/>
          </w:tcPr>
          <w:p w:rsidR="00D45885" w:rsidRPr="00D45885" w:rsidRDefault="00D45885" w:rsidP="00D45885">
            <w:pPr>
              <w:jc w:val="both"/>
              <w:rPr>
                <w:b/>
                <w:lang w:val="en-US"/>
              </w:rPr>
            </w:pPr>
            <w:r w:rsidRPr="00D45885">
              <w:rPr>
                <w:b/>
                <w:lang w:val="en-US"/>
              </w:rPr>
              <w:t>117.753</w:t>
            </w:r>
          </w:p>
        </w:tc>
        <w:tc>
          <w:tcPr>
            <w:tcW w:w="1869" w:type="dxa"/>
            <w:shd w:val="clear" w:color="auto" w:fill="auto"/>
            <w:noWrap/>
            <w:vAlign w:val="bottom"/>
            <w:hideMark/>
          </w:tcPr>
          <w:p w:rsidR="00D45885" w:rsidRPr="00D45885" w:rsidRDefault="00D45885" w:rsidP="00D45885">
            <w:pPr>
              <w:jc w:val="both"/>
              <w:rPr>
                <w:b/>
                <w:lang w:val="en-US"/>
              </w:rPr>
            </w:pPr>
            <w:r w:rsidRPr="00D45885">
              <w:rPr>
                <w:b/>
                <w:lang w:val="en-US"/>
              </w:rPr>
              <w:t>2,2</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p>
        </w:tc>
        <w:tc>
          <w:tcPr>
            <w:tcW w:w="1122" w:type="dxa"/>
            <w:shd w:val="clear" w:color="auto" w:fill="auto"/>
            <w:noWrap/>
            <w:vAlign w:val="bottom"/>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p>
        </w:tc>
        <w:tc>
          <w:tcPr>
            <w:tcW w:w="1843" w:type="dxa"/>
            <w:shd w:val="clear" w:color="auto" w:fill="auto"/>
            <w:noWrap/>
            <w:vAlign w:val="bottom"/>
            <w:hideMark/>
          </w:tcPr>
          <w:p w:rsidR="00D45885" w:rsidRPr="00D45885" w:rsidRDefault="00D45885" w:rsidP="00D45885">
            <w:pPr>
              <w:jc w:val="both"/>
              <w:rPr>
                <w:lang w:val="en-US"/>
              </w:rPr>
            </w:pPr>
          </w:p>
        </w:tc>
        <w:tc>
          <w:tcPr>
            <w:tcW w:w="1709" w:type="dxa"/>
            <w:shd w:val="clear" w:color="auto" w:fill="auto"/>
            <w:noWrap/>
            <w:vAlign w:val="bottom"/>
            <w:hideMark/>
          </w:tcPr>
          <w:p w:rsidR="00D45885" w:rsidRPr="00D45885" w:rsidRDefault="00D45885" w:rsidP="00D45885">
            <w:pPr>
              <w:jc w:val="both"/>
              <w:rPr>
                <w:lang w:val="en-US"/>
              </w:rPr>
            </w:pPr>
          </w:p>
        </w:tc>
        <w:tc>
          <w:tcPr>
            <w:tcW w:w="1869" w:type="dxa"/>
            <w:shd w:val="clear" w:color="auto" w:fill="auto"/>
            <w:noWrap/>
            <w:vAlign w:val="bottom"/>
            <w:hideMark/>
          </w:tcPr>
          <w:p w:rsidR="00D45885" w:rsidRPr="00D45885" w:rsidRDefault="00D45885" w:rsidP="00D45885">
            <w:pPr>
              <w:jc w:val="both"/>
              <w:rPr>
                <w:lang w:val="en-US"/>
              </w:rPr>
            </w:pP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2000</w:t>
            </w:r>
          </w:p>
        </w:tc>
        <w:tc>
          <w:tcPr>
            <w:tcW w:w="1122" w:type="dxa"/>
            <w:vMerge w:val="restart"/>
            <w:shd w:val="clear" w:color="auto" w:fill="auto"/>
            <w:noWrap/>
            <w:vAlign w:val="center"/>
            <w:hideMark/>
          </w:tcPr>
          <w:p w:rsidR="00D45885" w:rsidRPr="00D45885" w:rsidRDefault="00D45885" w:rsidP="00D45885">
            <w:pPr>
              <w:jc w:val="both"/>
              <w:rPr>
                <w:lang w:val="en-US"/>
              </w:rPr>
            </w:pPr>
            <w:proofErr w:type="spellStart"/>
            <w:r w:rsidRPr="00D45885">
              <w:rPr>
                <w:b/>
                <w:lang w:val="en-US"/>
              </w:rPr>
              <w:t>Annualy</w:t>
            </w:r>
            <w:proofErr w:type="spellEnd"/>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166.658</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59,3</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72.436</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6,8</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2001</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240.224</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44,1</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68.309</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-5,7</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2002</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350.476</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45,9</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72.519</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6,2</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2003</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454.780</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29,8</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76.338</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5,3</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2004</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559.033</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22,9</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83.485</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9,4</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2005</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648.931</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16,1</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90.499</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8,4</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2006</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758.390</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16,9</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96.738</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6,9</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2007</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843.178</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11,2</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101.254</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4,7</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2008</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950.534</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12,7</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101.921</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0,7</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2009</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952.558</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0,2</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97.003</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-4,8</w:t>
            </w:r>
          </w:p>
        </w:tc>
      </w:tr>
      <w:tr w:rsidR="00D45885" w:rsidRPr="00D45885" w:rsidTr="00766E8D">
        <w:trPr>
          <w:trHeight w:val="329"/>
          <w:jc w:val="center"/>
        </w:trPr>
        <w:tc>
          <w:tcPr>
            <w:tcW w:w="797" w:type="dxa"/>
            <w:shd w:val="clear" w:color="auto" w:fill="auto"/>
            <w:noWrap/>
            <w:vAlign w:val="bottom"/>
            <w:hideMark/>
          </w:tcPr>
          <w:p w:rsidR="00D45885" w:rsidRPr="00D45885" w:rsidRDefault="00D45885" w:rsidP="00D45885">
            <w:pPr>
              <w:jc w:val="both"/>
              <w:rPr>
                <w:lang w:val="en-US"/>
              </w:rPr>
            </w:pPr>
            <w:r w:rsidRPr="00D45885">
              <w:rPr>
                <w:lang w:val="en-US"/>
              </w:rPr>
              <w:t>2010</w:t>
            </w:r>
          </w:p>
        </w:tc>
        <w:tc>
          <w:tcPr>
            <w:tcW w:w="1122" w:type="dxa"/>
            <w:vMerge/>
            <w:vAlign w:val="center"/>
            <w:hideMark/>
          </w:tcPr>
          <w:p w:rsidR="00D45885" w:rsidRPr="00D45885" w:rsidRDefault="00D45885" w:rsidP="00D45885">
            <w:pPr>
              <w:jc w:val="both"/>
              <w:rPr>
                <w:lang w:val="en-US"/>
              </w:rPr>
            </w:pPr>
          </w:p>
        </w:tc>
        <w:tc>
          <w:tcPr>
            <w:tcW w:w="1736" w:type="dxa"/>
            <w:shd w:val="clear" w:color="auto" w:fill="auto"/>
            <w:noWrap/>
            <w:vAlign w:val="bottom"/>
            <w:hideMark/>
          </w:tcPr>
          <w:p w:rsidR="00D45885" w:rsidRPr="00D45885" w:rsidRDefault="00D45885" w:rsidP="00D45885">
            <w:pPr>
              <w:jc w:val="both"/>
              <w:rPr>
                <w:lang w:val="en-US"/>
              </w:rPr>
            </w:pPr>
            <w:r w:rsidRPr="00D45885">
              <w:rPr>
                <w:lang w:val="en-US"/>
              </w:rPr>
              <w:t>1.098.799</w:t>
            </w:r>
          </w:p>
        </w:tc>
        <w:tc>
          <w:tcPr>
            <w:tcW w:w="1843" w:type="dxa"/>
            <w:shd w:val="clear" w:color="auto" w:fill="auto"/>
            <w:noWrap/>
            <w:vAlign w:val="bottom"/>
            <w:hideMark/>
          </w:tcPr>
          <w:p w:rsidR="00D45885" w:rsidRPr="00D45885" w:rsidRDefault="00D45885" w:rsidP="00D45885">
            <w:pPr>
              <w:jc w:val="both"/>
              <w:rPr>
                <w:lang w:val="en-US"/>
              </w:rPr>
            </w:pPr>
            <w:r w:rsidRPr="00D45885">
              <w:rPr>
                <w:lang w:val="en-US"/>
              </w:rPr>
              <w:t>15,4</w:t>
            </w:r>
          </w:p>
        </w:tc>
        <w:tc>
          <w:tcPr>
            <w:tcW w:w="1709" w:type="dxa"/>
            <w:shd w:val="clear" w:color="auto" w:fill="auto"/>
            <w:noWrap/>
            <w:vAlign w:val="bottom"/>
            <w:hideMark/>
          </w:tcPr>
          <w:p w:rsidR="00D45885" w:rsidRPr="00D45885" w:rsidRDefault="00D45885" w:rsidP="00D45885">
            <w:pPr>
              <w:jc w:val="both"/>
              <w:rPr>
                <w:lang w:val="en-US"/>
              </w:rPr>
            </w:pPr>
            <w:r w:rsidRPr="00D45885">
              <w:rPr>
                <w:lang w:val="en-US"/>
              </w:rPr>
              <w:t>115.174</w:t>
            </w:r>
          </w:p>
        </w:tc>
        <w:tc>
          <w:tcPr>
            <w:tcW w:w="1869" w:type="dxa"/>
            <w:shd w:val="clear" w:color="auto" w:fill="auto"/>
            <w:noWrap/>
            <w:vAlign w:val="bottom"/>
            <w:hideMark/>
          </w:tcPr>
          <w:p w:rsidR="00D45885" w:rsidRPr="00D45885" w:rsidRDefault="00D45885" w:rsidP="00D45885">
            <w:pPr>
              <w:jc w:val="both"/>
              <w:rPr>
                <w:lang w:val="en-US"/>
              </w:rPr>
            </w:pPr>
            <w:r w:rsidRPr="00D45885">
              <w:rPr>
                <w:lang w:val="en-US"/>
              </w:rPr>
              <w:t>9,2</w:t>
            </w:r>
          </w:p>
        </w:tc>
      </w:tr>
    </w:tbl>
    <w:p w:rsidR="00D45885" w:rsidRPr="00D45885" w:rsidRDefault="00D45885" w:rsidP="00D45885">
      <w:pPr>
        <w:jc w:val="both"/>
        <w:rPr>
          <w:rFonts w:eastAsiaTheme="minorEastAsia"/>
          <w:lang w:val="en-US"/>
        </w:rPr>
      </w:pPr>
      <w:r w:rsidRPr="00D45885">
        <w:rPr>
          <w:rFonts w:eastAsiaTheme="minorEastAsia"/>
          <w:b/>
          <w:lang w:val="en-US"/>
        </w:rPr>
        <w:t xml:space="preserve">Source: </w:t>
      </w:r>
      <w:hyperlink r:id="rId9" w:history="1">
        <w:r w:rsidRPr="00D45885">
          <w:rPr>
            <w:rFonts w:eastAsiaTheme="minorEastAsia"/>
          </w:rPr>
          <w:t>www.tuik.gov.tr/PreHaberBultenleri.do?id=13471</w:t>
        </w:r>
      </w:hyperlink>
    </w:p>
    <w:tbl>
      <w:tblPr>
        <w:tblW w:w="9317" w:type="dxa"/>
        <w:tblInd w:w="55" w:type="dxa"/>
        <w:tblLayout w:type="fixed"/>
        <w:tblCellMar>
          <w:left w:w="70" w:type="dxa"/>
          <w:right w:w="70" w:type="dxa"/>
        </w:tblCellMar>
        <w:tblLook w:val="04A0" w:firstRow="1" w:lastRow="0" w:firstColumn="1" w:lastColumn="0" w:noHBand="0" w:noVBand="1"/>
      </w:tblPr>
      <w:tblGrid>
        <w:gridCol w:w="726"/>
        <w:gridCol w:w="1175"/>
        <w:gridCol w:w="821"/>
        <w:gridCol w:w="979"/>
        <w:gridCol w:w="422"/>
        <w:gridCol w:w="854"/>
        <w:gridCol w:w="1294"/>
        <w:gridCol w:w="893"/>
        <w:gridCol w:w="729"/>
        <w:gridCol w:w="147"/>
        <w:gridCol w:w="1277"/>
      </w:tblGrid>
      <w:tr w:rsidR="00D45885" w:rsidRPr="00D45885" w:rsidTr="00766E8D">
        <w:trPr>
          <w:trHeight w:val="300"/>
        </w:trPr>
        <w:tc>
          <w:tcPr>
            <w:tcW w:w="4123" w:type="dxa"/>
            <w:gridSpan w:val="5"/>
            <w:tcBorders>
              <w:top w:val="nil"/>
              <w:left w:val="nil"/>
              <w:bottom w:val="nil"/>
              <w:right w:val="nil"/>
            </w:tcBorders>
            <w:shd w:val="clear" w:color="auto" w:fill="auto"/>
            <w:noWrap/>
            <w:vAlign w:val="bottom"/>
            <w:hideMark/>
          </w:tcPr>
          <w:p w:rsidR="00D45885" w:rsidRPr="00D45885" w:rsidRDefault="00D45885" w:rsidP="00D45885">
            <w:pPr>
              <w:jc w:val="both"/>
              <w:rPr>
                <w:bCs/>
                <w:lang w:val="en-US"/>
              </w:rPr>
            </w:pPr>
          </w:p>
          <w:p w:rsidR="00D45885" w:rsidRPr="00D45885" w:rsidRDefault="00D45885" w:rsidP="00D45885">
            <w:pPr>
              <w:jc w:val="both"/>
              <w:rPr>
                <w:bCs/>
                <w:lang w:val="en-US"/>
              </w:rPr>
            </w:pPr>
          </w:p>
          <w:p w:rsidR="00D45885" w:rsidRPr="00D45885" w:rsidRDefault="00D45885" w:rsidP="00D45885">
            <w:pPr>
              <w:jc w:val="both"/>
              <w:rPr>
                <w:bCs/>
                <w:lang w:val="en-US"/>
              </w:rPr>
            </w:pPr>
          </w:p>
          <w:p w:rsidR="00D45885" w:rsidRPr="00D45885" w:rsidRDefault="00D45885" w:rsidP="00D45885">
            <w:pPr>
              <w:jc w:val="both"/>
              <w:rPr>
                <w:bCs/>
                <w:lang w:val="en-US"/>
              </w:rPr>
            </w:pPr>
          </w:p>
        </w:tc>
        <w:tc>
          <w:tcPr>
            <w:tcW w:w="854" w:type="dxa"/>
            <w:tcBorders>
              <w:top w:val="nil"/>
              <w:left w:val="nil"/>
              <w:bottom w:val="nil"/>
              <w:right w:val="nil"/>
            </w:tcBorders>
            <w:shd w:val="clear" w:color="auto" w:fill="auto"/>
            <w:noWrap/>
            <w:vAlign w:val="bottom"/>
            <w:hideMark/>
          </w:tcPr>
          <w:p w:rsidR="00D45885" w:rsidRPr="00D45885" w:rsidRDefault="00D45885" w:rsidP="00D45885">
            <w:pPr>
              <w:jc w:val="both"/>
              <w:rPr>
                <w:lang w:val="en-US"/>
              </w:rPr>
            </w:pPr>
          </w:p>
        </w:tc>
        <w:tc>
          <w:tcPr>
            <w:tcW w:w="1294" w:type="dxa"/>
            <w:tcBorders>
              <w:top w:val="nil"/>
              <w:left w:val="nil"/>
              <w:bottom w:val="nil"/>
              <w:right w:val="nil"/>
            </w:tcBorders>
            <w:shd w:val="clear" w:color="auto" w:fill="auto"/>
            <w:noWrap/>
            <w:vAlign w:val="bottom"/>
            <w:hideMark/>
          </w:tcPr>
          <w:p w:rsidR="00D45885" w:rsidRPr="00D45885" w:rsidRDefault="00D45885" w:rsidP="00D45885">
            <w:pPr>
              <w:jc w:val="both"/>
              <w:rPr>
                <w:lang w:val="en-US"/>
              </w:rPr>
            </w:pPr>
          </w:p>
        </w:tc>
        <w:tc>
          <w:tcPr>
            <w:tcW w:w="893" w:type="dxa"/>
            <w:tcBorders>
              <w:top w:val="nil"/>
              <w:left w:val="nil"/>
              <w:bottom w:val="nil"/>
              <w:right w:val="nil"/>
            </w:tcBorders>
            <w:shd w:val="clear" w:color="auto" w:fill="auto"/>
            <w:noWrap/>
            <w:vAlign w:val="bottom"/>
            <w:hideMark/>
          </w:tcPr>
          <w:p w:rsidR="00D45885" w:rsidRPr="00D45885" w:rsidRDefault="00D45885" w:rsidP="00D45885">
            <w:pPr>
              <w:jc w:val="both"/>
              <w:rPr>
                <w:lang w:val="en-US"/>
              </w:rPr>
            </w:pPr>
          </w:p>
        </w:tc>
        <w:tc>
          <w:tcPr>
            <w:tcW w:w="876" w:type="dxa"/>
            <w:gridSpan w:val="2"/>
            <w:tcBorders>
              <w:top w:val="nil"/>
              <w:left w:val="nil"/>
              <w:bottom w:val="nil"/>
              <w:right w:val="nil"/>
            </w:tcBorders>
            <w:shd w:val="clear" w:color="auto" w:fill="auto"/>
            <w:noWrap/>
            <w:vAlign w:val="bottom"/>
            <w:hideMark/>
          </w:tcPr>
          <w:p w:rsidR="00D45885" w:rsidRPr="00D45885" w:rsidRDefault="00D45885" w:rsidP="00D45885">
            <w:pPr>
              <w:jc w:val="both"/>
              <w:rPr>
                <w:lang w:val="en-US"/>
              </w:rPr>
            </w:pPr>
          </w:p>
        </w:tc>
        <w:tc>
          <w:tcPr>
            <w:tcW w:w="1277" w:type="dxa"/>
            <w:tcBorders>
              <w:top w:val="nil"/>
              <w:left w:val="nil"/>
              <w:bottom w:val="nil"/>
              <w:right w:val="nil"/>
            </w:tcBorders>
            <w:shd w:val="clear" w:color="auto" w:fill="auto"/>
            <w:noWrap/>
            <w:vAlign w:val="bottom"/>
            <w:hideMark/>
          </w:tcPr>
          <w:p w:rsidR="00D45885" w:rsidRPr="00D45885" w:rsidRDefault="00D45885" w:rsidP="00D45885">
            <w:pPr>
              <w:jc w:val="both"/>
              <w:rPr>
                <w:lang w:val="en-US"/>
              </w:rPr>
            </w:pPr>
          </w:p>
        </w:tc>
      </w:tr>
      <w:tr w:rsidR="00D45885" w:rsidRPr="00D45885" w:rsidTr="00766E8D">
        <w:trPr>
          <w:trHeight w:val="610"/>
        </w:trPr>
        <w:tc>
          <w:tcPr>
            <w:tcW w:w="6271" w:type="dxa"/>
            <w:gridSpan w:val="7"/>
            <w:tcBorders>
              <w:top w:val="single" w:sz="4" w:space="0" w:color="auto"/>
              <w:left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bCs/>
                <w:lang w:val="en-US"/>
              </w:rPr>
              <w:lastRenderedPageBreak/>
              <w:t>With current prices</w:t>
            </w:r>
          </w:p>
        </w:tc>
        <w:tc>
          <w:tcPr>
            <w:tcW w:w="30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bCs/>
                <w:lang w:val="en-US"/>
              </w:rPr>
              <w:t>With   (constant prices (1998)</w:t>
            </w:r>
          </w:p>
        </w:tc>
      </w:tr>
      <w:tr w:rsidR="00D45885" w:rsidRPr="00D45885" w:rsidTr="00766E8D">
        <w:trPr>
          <w:trHeight w:val="495"/>
        </w:trPr>
        <w:tc>
          <w:tcPr>
            <w:tcW w:w="726" w:type="dxa"/>
            <w:vMerge w:val="restart"/>
            <w:tcBorders>
              <w:top w:val="single" w:sz="4" w:space="0" w:color="auto"/>
              <w:left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lang w:val="en-US"/>
              </w:rPr>
              <w:t>Year</w:t>
            </w:r>
          </w:p>
        </w:tc>
        <w:tc>
          <w:tcPr>
            <w:tcW w:w="117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45885" w:rsidRPr="00D45885" w:rsidRDefault="00D45885" w:rsidP="00D45885">
            <w:pPr>
              <w:jc w:val="both"/>
              <w:rPr>
                <w:bCs/>
                <w:lang w:val="en-US"/>
              </w:rPr>
            </w:pPr>
            <w:r w:rsidRPr="00D45885">
              <w:rPr>
                <w:bCs/>
                <w:lang w:val="en-US"/>
              </w:rPr>
              <w:t>Population in the middle  of year</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p>
        </w:tc>
        <w:tc>
          <w:tcPr>
            <w:tcW w:w="97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45885" w:rsidRPr="00D45885" w:rsidRDefault="00D45885" w:rsidP="00D45885">
            <w:pPr>
              <w:jc w:val="both"/>
              <w:rPr>
                <w:bCs/>
                <w:lang w:val="en-US"/>
              </w:rPr>
            </w:pPr>
            <w:r w:rsidRPr="00D45885">
              <w:rPr>
                <w:bCs/>
                <w:lang w:val="en-US"/>
              </w:rPr>
              <w:t>Development Rate</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Per Capita</w:t>
            </w:r>
          </w:p>
        </w:tc>
        <w:tc>
          <w:tcPr>
            <w:tcW w:w="129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45885" w:rsidRPr="00D45885" w:rsidRDefault="00D45885" w:rsidP="00D45885">
            <w:pPr>
              <w:jc w:val="both"/>
              <w:rPr>
                <w:bCs/>
                <w:lang w:val="en-US"/>
              </w:rPr>
            </w:pPr>
            <w:r w:rsidRPr="00D45885">
              <w:rPr>
                <w:bCs/>
                <w:lang w:val="en-US"/>
              </w:rPr>
              <w:t xml:space="preserve">Development </w:t>
            </w:r>
            <w:r w:rsidRPr="00D45885">
              <w:rPr>
                <w:bCs/>
                <w:lang w:val="en-US"/>
              </w:rPr>
              <w:br/>
              <w:t>Rate</w:t>
            </w:r>
          </w:p>
        </w:tc>
        <w:tc>
          <w:tcPr>
            <w:tcW w:w="893" w:type="dxa"/>
            <w:vMerge w:val="restart"/>
            <w:tcBorders>
              <w:top w:val="single" w:sz="4" w:space="0" w:color="auto"/>
              <w:left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lang w:val="en-US"/>
              </w:rPr>
              <w:t>Year</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5885" w:rsidRPr="00D45885" w:rsidRDefault="00D45885" w:rsidP="00D45885">
            <w:pPr>
              <w:jc w:val="both"/>
              <w:rPr>
                <w:bCs/>
                <w:lang w:val="en-US"/>
              </w:rPr>
            </w:pPr>
            <w:r w:rsidRPr="00D45885">
              <w:rPr>
                <w:bCs/>
                <w:lang w:val="en-US"/>
              </w:rPr>
              <w:t xml:space="preserve">Development </w:t>
            </w:r>
            <w:r w:rsidRPr="00D45885">
              <w:rPr>
                <w:bCs/>
                <w:lang w:val="en-US"/>
              </w:rPr>
              <w:br/>
              <w:t>rate</w:t>
            </w:r>
          </w:p>
        </w:tc>
      </w:tr>
      <w:tr w:rsidR="00D45885" w:rsidRPr="00D45885" w:rsidTr="00766E8D">
        <w:trPr>
          <w:trHeight w:val="300"/>
        </w:trPr>
        <w:tc>
          <w:tcPr>
            <w:tcW w:w="726" w:type="dxa"/>
            <w:vMerge/>
            <w:tcBorders>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'000</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TL</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bCs/>
                <w:lang w:val="en-US"/>
              </w:rPr>
            </w:pPr>
            <w:r w:rsidRPr="00D45885">
              <w:rPr>
                <w:bCs/>
                <w:lang w:val="en-US"/>
              </w:rPr>
              <w:t>%</w:t>
            </w:r>
          </w:p>
        </w:tc>
        <w:tc>
          <w:tcPr>
            <w:tcW w:w="893" w:type="dxa"/>
            <w:vMerge/>
            <w:tcBorders>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bCs/>
                <w:lang w:val="en-US"/>
              </w:rPr>
              <w:t>TL</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bCs/>
                <w:lang w:val="en-US"/>
              </w:rPr>
            </w:pPr>
            <w:r w:rsidRPr="00D45885">
              <w:rPr>
                <w:bCs/>
                <w:lang w:val="en-US"/>
              </w:rPr>
              <w:t>%</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1998</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62 464</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1 124</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4 338</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1998</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1 124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1999</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63 364</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1 651</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46,9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3 907</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-9,9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1999</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1 071</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-4,7</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2000</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64 252</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2 594</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57,1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4 130</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5,7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1 127</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5,3</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2001</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65 133</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3 688</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42,2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3 021</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-26,9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1 049</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-7,0</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2002</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66 008</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5 310</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44,0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3 492</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15,6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1 099</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4,8</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2003</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66 873</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6 801</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28,1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4 559</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30,6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2003</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1 142</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3,9</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2004</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67 723</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8 255</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21,4</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5 764</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26,4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2004</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1 233</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8,0</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2005</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68 566</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9 464</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14,7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7 022</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21,8</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2005</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1 320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7,1</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2006</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69 395</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10 929</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15,5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7 586</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8,0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2006</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1 394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5,6</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2007</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70 215</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12 009</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9,9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9 240</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21,8</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1 442</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3,4</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2008</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71 095</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13 370</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11,3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10 438</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13,0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2008</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1 434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-0,6</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2009</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72 050</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13.221</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8 559</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-18,0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2009</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1 346</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-6,1</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2010</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73 003</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15.051</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13,8</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10 022</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17,1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1 450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7,7</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2011</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73 950</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17 549</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16,6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10 466</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4,4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1 557</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7,4</w:t>
            </w:r>
          </w:p>
        </w:tc>
      </w:tr>
      <w:tr w:rsidR="00D45885" w:rsidRPr="00D45885" w:rsidTr="00766E8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2012</w:t>
            </w:r>
          </w:p>
        </w:tc>
        <w:tc>
          <w:tcPr>
            <w:tcW w:w="1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74 855</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18 927</w:t>
            </w:r>
          </w:p>
        </w:tc>
        <w:tc>
          <w:tcPr>
            <w:tcW w:w="97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7,9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10 504</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45885" w:rsidRPr="00D45885" w:rsidRDefault="00D45885" w:rsidP="00D45885">
            <w:pPr>
              <w:jc w:val="both"/>
              <w:rPr>
                <w:lang w:val="en-US"/>
              </w:rPr>
            </w:pPr>
            <w:r w:rsidRPr="00D45885">
              <w:rPr>
                <w:lang w:val="en-US"/>
              </w:rPr>
              <w:t>0,4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2012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1 573</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885" w:rsidRPr="00D45885" w:rsidRDefault="00D45885" w:rsidP="00D45885">
            <w:pPr>
              <w:jc w:val="both"/>
              <w:rPr>
                <w:lang w:val="en-US"/>
              </w:rPr>
            </w:pPr>
            <w:r w:rsidRPr="00D45885">
              <w:rPr>
                <w:lang w:val="en-US"/>
              </w:rPr>
              <w:t>1,0</w:t>
            </w:r>
          </w:p>
        </w:tc>
      </w:tr>
    </w:tbl>
    <w:p w:rsidR="00D45885" w:rsidRPr="00D45885" w:rsidRDefault="00D45885" w:rsidP="00D45885">
      <w:pPr>
        <w:jc w:val="both"/>
        <w:rPr>
          <w:rFonts w:eastAsiaTheme="minorEastAsia"/>
          <w:lang w:val="en-US"/>
        </w:rPr>
      </w:pPr>
      <w:r w:rsidRPr="00D45885">
        <w:rPr>
          <w:rFonts w:eastAsiaTheme="minorEastAsia"/>
          <w:b/>
          <w:lang w:val="en-US"/>
        </w:rPr>
        <w:t>Source:</w:t>
      </w:r>
      <w:r w:rsidRPr="00D45885">
        <w:rPr>
          <w:rFonts w:eastAsiaTheme="minorEastAsia"/>
          <w:lang w:val="en-US"/>
        </w:rPr>
        <w:t xml:space="preserve"> www.tuik.gov.tr</w:t>
      </w:r>
    </w:p>
    <w:p w:rsidR="00D45885" w:rsidRPr="00D45885" w:rsidRDefault="00D45885" w:rsidP="00D45885">
      <w:pPr>
        <w:jc w:val="both"/>
        <w:rPr>
          <w:rFonts w:eastAsiaTheme="minorEastAsia"/>
          <w:b/>
          <w:lang w:val="en-US"/>
        </w:rPr>
      </w:pPr>
      <w:r w:rsidRPr="00D45885">
        <w:rPr>
          <w:lang w:val="en-US"/>
        </w:rPr>
        <w:t>Note: Population estimations are based on 2008 Address Based Population Registration</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Turkey </w:t>
      </w:r>
      <w:proofErr w:type="gramStart"/>
      <w:r w:rsidRPr="00D45885">
        <w:rPr>
          <w:rFonts w:eastAsiaTheme="minorEastAsia"/>
          <w:lang w:val="en-US"/>
        </w:rPr>
        <w:t>economy  entered</w:t>
      </w:r>
      <w:proofErr w:type="gramEnd"/>
      <w:r w:rsidRPr="00D45885">
        <w:rPr>
          <w:rFonts w:eastAsiaTheme="minorEastAsia"/>
          <w:lang w:val="en-US"/>
        </w:rPr>
        <w:t xml:space="preserve">  2011 with a  growth over  that is predicted. </w:t>
      </w:r>
      <w:proofErr w:type="gramStart"/>
      <w:r w:rsidRPr="00D45885">
        <w:rPr>
          <w:rFonts w:eastAsiaTheme="minorEastAsia"/>
          <w:lang w:val="en-US"/>
        </w:rPr>
        <w:t>In  the</w:t>
      </w:r>
      <w:proofErr w:type="gramEnd"/>
      <w:r w:rsidRPr="00D45885">
        <w:rPr>
          <w:rFonts w:eastAsiaTheme="minorEastAsia"/>
          <w:lang w:val="en-US"/>
        </w:rPr>
        <w:t xml:space="preserve">  first   quarter   of  the  year  2011,  GDP  grew  12.4%.  With   this  growth  rate,  Turkey economy became  one  of  the  fastest growing   economies  of  the  world.  Also  in  EU, Turkey   that  is  the fastest growing  country  maintained  this  title of  it with  the  growth   rate of  8.2% actualizing over  the  expectation   in  the third  quarter . Turkey   economy, with   its  growth   of  8.2% in  third  quarter, took  place   in  the  first  rank  among  European  and  OECD  countries,  and   in  world   ranking,  in  the  second  rank as  a county having  the most increase  rate  of  GDP,  following  China. Turkey economy, with   the effect  of delayed  internal demand in  the crisis  period as well, experienced  a strong and internal demand induced  growth process in the leadership  of private  sector in  the  years  2010 -2011.  In 2010,  together with  the  expectation becoming better in  the market,  middle  termed   polices and  the trust to the  political  stability  and  fast   input of   capital, and  strongly  financed   investments  provided  economy to  grow rapidly. Turkey  economy,  despite  the  controlled  slowing  beginning  in  the  second   half of  2011, rose  up   the  pre-crisis level by 14.1%. The Turkey economy growing 8.8 % in  average in  2011, with  this  performance   of  it,  took  places  among  the  fastest  growing  countries  in the  world.  In this period,  the  increase in  the  consumption  and investment  expenditures  of private  sector  became   the  driving force of  especially  internal  demand   induced stimulation  and significantly  affected  the growth.  In  this process,  current  deficit  reached the highest levels  and  distinction  in  the  internal  and external  demand  from  the  aspect  of  expenditure  became  very remarkable.  The  most  important contribution  to  the  growth  of  8.5% in 2011  came  from the internal  demand  with  10.2  points.  Since  the saving   levels  is  low,   this growth,  mostly  financed   with  external  </w:t>
      </w:r>
      <w:r w:rsidRPr="00D45885">
        <w:rPr>
          <w:rFonts w:eastAsiaTheme="minorEastAsia"/>
          <w:lang w:val="en-US"/>
        </w:rPr>
        <w:lastRenderedPageBreak/>
        <w:t xml:space="preserve">resources, caused  the  rate  of  current  deficit to GDP  to  rise  to %10. </w:t>
      </w:r>
      <w:proofErr w:type="gramStart"/>
      <w:r w:rsidRPr="00D45885">
        <w:rPr>
          <w:rFonts w:eastAsiaTheme="minorEastAsia"/>
          <w:lang w:val="en-US"/>
        </w:rPr>
        <w:t>This  situation</w:t>
      </w:r>
      <w:proofErr w:type="gramEnd"/>
      <w:r w:rsidRPr="00D45885">
        <w:rPr>
          <w:rFonts w:eastAsiaTheme="minorEastAsia"/>
          <w:lang w:val="en-US"/>
        </w:rPr>
        <w:t xml:space="preserve">  leaded  to  some concerns  about  the  sustainability of  economic  growth.  In the  first half   of  2011,  while  Turkey  economy was  growing based  on  internal  demand,  the  external  demand  negatively affected  the  growth. </w:t>
      </w:r>
      <w:proofErr w:type="gramStart"/>
      <w:r w:rsidRPr="00D45885">
        <w:rPr>
          <w:rFonts w:eastAsiaTheme="minorEastAsia"/>
          <w:lang w:val="en-US"/>
        </w:rPr>
        <w:t>This  situation</w:t>
      </w:r>
      <w:proofErr w:type="gramEnd"/>
      <w:r w:rsidRPr="00D45885">
        <w:rPr>
          <w:rFonts w:eastAsiaTheme="minorEastAsia"/>
          <w:lang w:val="en-US"/>
        </w:rPr>
        <w:t xml:space="preserve"> varied   along  with   the  second   half  of   the year. With  the  effect  of  the  measures  taken   to   cool   down   the   economy,  while  rebalancing  process  was begun  in   internal   and   external  demand,  the  contribution   of   external  demand  to   the  growth  gradually  took  a  positive appearance. Turkey  economy beginning  to  slow  in a   balanced way,  beginning   from   the  second   half  of  2011,  orientated   the  path   of  soft  landing,  where  one  was  in.  This   process   we  called   as  soft   landing  is  to  balance  the composition  of growth between  internal and external demand  and  thus this is normalization  of  growth.  </w:t>
      </w:r>
    </w:p>
    <w:p w:rsidR="00D45885" w:rsidRPr="00D45885" w:rsidRDefault="00D45885" w:rsidP="00D45885">
      <w:pPr>
        <w:jc w:val="both"/>
        <w:rPr>
          <w:rFonts w:eastAsiaTheme="minorEastAsia"/>
          <w:b/>
          <w:lang w:val="en-US"/>
        </w:rPr>
      </w:pPr>
    </w:p>
    <w:p w:rsidR="00D45885" w:rsidRPr="00D45885" w:rsidRDefault="00D45885" w:rsidP="00D45885">
      <w:pPr>
        <w:jc w:val="center"/>
        <w:rPr>
          <w:rFonts w:eastAsiaTheme="minorEastAsia"/>
          <w:lang w:val="en-US"/>
        </w:rPr>
      </w:pPr>
      <w:r w:rsidRPr="00D45885">
        <w:rPr>
          <w:rFonts w:eastAsiaTheme="minorEastAsia"/>
          <w:b/>
          <w:lang w:val="en-US"/>
        </w:rPr>
        <w:t>Table 3:</w:t>
      </w:r>
      <w:r w:rsidRPr="00D45885">
        <w:rPr>
          <w:rFonts w:eastAsiaTheme="minorEastAsia"/>
          <w:lang w:val="en-US"/>
        </w:rPr>
        <w:t xml:space="preserve"> Basic Indicators   on World Economy    (%)</w:t>
      </w:r>
    </w:p>
    <w:tbl>
      <w:tblPr>
        <w:tblStyle w:val="TableGrid"/>
        <w:tblW w:w="8845" w:type="dxa"/>
        <w:jc w:val="center"/>
        <w:tblLook w:val="04A0" w:firstRow="1" w:lastRow="0" w:firstColumn="1" w:lastColumn="0" w:noHBand="0" w:noVBand="1"/>
      </w:tblPr>
      <w:tblGrid>
        <w:gridCol w:w="2515"/>
        <w:gridCol w:w="1054"/>
        <w:gridCol w:w="1054"/>
        <w:gridCol w:w="1054"/>
        <w:gridCol w:w="1056"/>
        <w:gridCol w:w="1056"/>
        <w:gridCol w:w="1056"/>
      </w:tblGrid>
      <w:tr w:rsidR="00D45885" w:rsidRPr="00D45885" w:rsidTr="00766E8D">
        <w:trPr>
          <w:jc w:val="center"/>
        </w:trPr>
        <w:tc>
          <w:tcPr>
            <w:tcW w:w="1421" w:type="pct"/>
            <w:shd w:val="clear" w:color="auto" w:fill="auto"/>
          </w:tcPr>
          <w:p w:rsidR="00D45885" w:rsidRPr="00D45885" w:rsidRDefault="00D45885" w:rsidP="00D45885">
            <w:pPr>
              <w:jc w:val="both"/>
              <w:rPr>
                <w:rFonts w:eastAsiaTheme="minorEastAsia"/>
                <w:b/>
                <w:lang w:val="en-US"/>
              </w:rPr>
            </w:pPr>
          </w:p>
        </w:tc>
        <w:tc>
          <w:tcPr>
            <w:tcW w:w="596"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2008</w:t>
            </w:r>
          </w:p>
        </w:tc>
        <w:tc>
          <w:tcPr>
            <w:tcW w:w="596"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2009</w:t>
            </w:r>
          </w:p>
        </w:tc>
        <w:tc>
          <w:tcPr>
            <w:tcW w:w="596"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2010</w:t>
            </w:r>
          </w:p>
        </w:tc>
        <w:tc>
          <w:tcPr>
            <w:tcW w:w="597"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2011</w:t>
            </w:r>
          </w:p>
        </w:tc>
        <w:tc>
          <w:tcPr>
            <w:tcW w:w="597"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2012*</w:t>
            </w:r>
          </w:p>
        </w:tc>
        <w:tc>
          <w:tcPr>
            <w:tcW w:w="597" w:type="pct"/>
            <w:shd w:val="clear" w:color="auto" w:fill="auto"/>
            <w:vAlign w:val="center"/>
          </w:tcPr>
          <w:p w:rsidR="00D45885" w:rsidRPr="00D45885" w:rsidRDefault="00D45885" w:rsidP="00D45885">
            <w:pPr>
              <w:jc w:val="both"/>
              <w:rPr>
                <w:rFonts w:eastAsiaTheme="minorEastAsia"/>
                <w:b/>
                <w:lang w:val="en-US"/>
              </w:rPr>
            </w:pPr>
            <w:r w:rsidRPr="00D45885">
              <w:rPr>
                <w:rFonts w:eastAsiaTheme="minorEastAsia"/>
                <w:b/>
                <w:lang w:val="en-US"/>
              </w:rPr>
              <w:t>2013*</w:t>
            </w:r>
          </w:p>
        </w:tc>
      </w:tr>
      <w:tr w:rsidR="00D45885" w:rsidRPr="00D45885" w:rsidTr="00766E8D">
        <w:trPr>
          <w:jc w:val="center"/>
        </w:trPr>
        <w:tc>
          <w:tcPr>
            <w:tcW w:w="1421" w:type="pct"/>
          </w:tcPr>
          <w:p w:rsidR="00D45885" w:rsidRPr="00D45885" w:rsidRDefault="00D45885" w:rsidP="00D45885">
            <w:pPr>
              <w:jc w:val="both"/>
              <w:rPr>
                <w:rFonts w:eastAsiaTheme="minorEastAsia"/>
                <w:lang w:val="en-US"/>
              </w:rPr>
            </w:pPr>
            <w:r w:rsidRPr="00D45885">
              <w:rPr>
                <w:rFonts w:eastAsiaTheme="minorEastAsia"/>
                <w:lang w:val="en-US"/>
              </w:rPr>
              <w:t>World  Growth</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2,8</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-0,6</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5,1</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3,8</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3,3</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3,6</w:t>
            </w:r>
          </w:p>
        </w:tc>
      </w:tr>
      <w:tr w:rsidR="00D45885" w:rsidRPr="00D45885" w:rsidTr="00766E8D">
        <w:trPr>
          <w:jc w:val="center"/>
        </w:trPr>
        <w:tc>
          <w:tcPr>
            <w:tcW w:w="1421" w:type="pct"/>
          </w:tcPr>
          <w:p w:rsidR="00D45885" w:rsidRPr="00D45885" w:rsidRDefault="00D45885" w:rsidP="00D45885">
            <w:pPr>
              <w:jc w:val="both"/>
              <w:rPr>
                <w:rFonts w:eastAsiaTheme="minorEastAsia"/>
                <w:lang w:val="en-US"/>
              </w:rPr>
            </w:pPr>
            <w:r w:rsidRPr="00D45885">
              <w:rPr>
                <w:rFonts w:eastAsiaTheme="minorEastAsia"/>
                <w:lang w:val="en-US"/>
              </w:rPr>
              <w:t>World   Trade Volume</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3,0</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-10,7</w:t>
            </w:r>
          </w:p>
        </w:tc>
        <w:tc>
          <w:tcPr>
            <w:tcW w:w="596" w:type="pct"/>
            <w:vAlign w:val="center"/>
          </w:tcPr>
          <w:p w:rsidR="00D45885" w:rsidRPr="00D45885" w:rsidRDefault="00D45885" w:rsidP="00D45885">
            <w:pPr>
              <w:jc w:val="both"/>
              <w:rPr>
                <w:rFonts w:eastAsiaTheme="minorEastAsia"/>
                <w:lang w:val="en-US"/>
              </w:rPr>
            </w:pPr>
            <w:r w:rsidRPr="00D45885">
              <w:rPr>
                <w:rFonts w:eastAsiaTheme="minorEastAsia"/>
                <w:lang w:val="en-US"/>
              </w:rPr>
              <w:t>12,6</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5,8</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3,2</w:t>
            </w:r>
          </w:p>
        </w:tc>
        <w:tc>
          <w:tcPr>
            <w:tcW w:w="597" w:type="pct"/>
            <w:vAlign w:val="center"/>
          </w:tcPr>
          <w:p w:rsidR="00D45885" w:rsidRPr="00D45885" w:rsidRDefault="00D45885" w:rsidP="00D45885">
            <w:pPr>
              <w:jc w:val="both"/>
              <w:rPr>
                <w:rFonts w:eastAsiaTheme="minorEastAsia"/>
                <w:lang w:val="en-US"/>
              </w:rPr>
            </w:pPr>
            <w:r w:rsidRPr="00D45885">
              <w:rPr>
                <w:rFonts w:eastAsiaTheme="minorEastAsia"/>
                <w:lang w:val="en-US"/>
              </w:rPr>
              <w:t>4,5</w:t>
            </w:r>
          </w:p>
        </w:tc>
      </w:tr>
    </w:tbl>
    <w:p w:rsidR="00D45885" w:rsidRPr="00D45885" w:rsidRDefault="00D45885" w:rsidP="00D45885">
      <w:pPr>
        <w:jc w:val="both"/>
        <w:rPr>
          <w:rFonts w:eastAsiaTheme="minorEastAsia"/>
          <w:lang w:val="en-US"/>
        </w:rPr>
      </w:pPr>
      <w:r w:rsidRPr="00D45885">
        <w:rPr>
          <w:rFonts w:eastAsiaTheme="minorEastAsia"/>
          <w:b/>
          <w:lang w:val="en-US"/>
        </w:rPr>
        <w:t xml:space="preserve">  Source:</w:t>
      </w:r>
      <w:r w:rsidRPr="00D45885">
        <w:rPr>
          <w:rFonts w:eastAsiaTheme="minorEastAsia"/>
          <w:lang w:val="en-US"/>
        </w:rPr>
        <w:t xml:space="preserve"> IMF, World Economic Outlook Report, October 2012   </w:t>
      </w:r>
    </w:p>
    <w:p w:rsidR="00D45885" w:rsidRPr="00D45885" w:rsidRDefault="00D45885" w:rsidP="00D45885">
      <w:pPr>
        <w:ind w:firstLine="426"/>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Also  in the  2012, the  negative  effects  of global  crisis on  world   economy  continued,  despite the  measures taken  bad  the  tendency of  slowing  in country  economies was  maintained. Although 5  years passed from  global  crisis  to  now,  especially  the  developed   countries  and  Euro </w:t>
      </w:r>
      <w:proofErr w:type="spellStart"/>
      <w:r w:rsidRPr="00D45885">
        <w:rPr>
          <w:rFonts w:eastAsiaTheme="minorEastAsia"/>
          <w:lang w:val="en-US"/>
        </w:rPr>
        <w:t>egion</w:t>
      </w:r>
      <w:proofErr w:type="spellEnd"/>
      <w:r w:rsidRPr="00D45885">
        <w:rPr>
          <w:rFonts w:eastAsiaTheme="minorEastAsia"/>
          <w:lang w:val="en-US"/>
        </w:rPr>
        <w:t xml:space="preserve">,  many countries  could not  still solve   their  basic macroeconomic and  financial problems.  Emerging countries, also  including   Turkey,  often   depend  on  the  capital coming  from  the  developed  countries  and   this  dependency  can be viewed   as a suicide agreement,  when   the  things get  worse i.e.  </w:t>
      </w:r>
      <w:proofErr w:type="gramStart"/>
      <w:r w:rsidRPr="00D45885">
        <w:rPr>
          <w:rFonts w:eastAsiaTheme="minorEastAsia"/>
          <w:lang w:val="en-US"/>
        </w:rPr>
        <w:t>in  the</w:t>
      </w:r>
      <w:proofErr w:type="gramEnd"/>
      <w:r w:rsidRPr="00D45885">
        <w:rPr>
          <w:rFonts w:eastAsiaTheme="minorEastAsia"/>
          <w:lang w:val="en-US"/>
        </w:rPr>
        <w:t xml:space="preserve"> periods  of  crisis (</w:t>
      </w:r>
      <w:proofErr w:type="spellStart"/>
      <w:r w:rsidRPr="00D45885">
        <w:rPr>
          <w:rFonts w:eastAsiaTheme="minorEastAsia"/>
          <w:lang w:val="en-US"/>
        </w:rPr>
        <w:t>Roubini</w:t>
      </w:r>
      <w:proofErr w:type="spellEnd"/>
      <w:r w:rsidRPr="00D45885">
        <w:rPr>
          <w:rFonts w:eastAsiaTheme="minorEastAsia"/>
          <w:lang w:val="en-US"/>
        </w:rPr>
        <w:t>, 2012: 139 ). As  a matter  of fact,  the effect of the  last  crisis   was  felt   on  the  real   sector  of   Turkey  and  caused   the  real  sector  to  become  smaller (</w:t>
      </w:r>
      <w:proofErr w:type="spellStart"/>
      <w:r w:rsidRPr="00D45885">
        <w:rPr>
          <w:rFonts w:eastAsiaTheme="minorEastAsia"/>
          <w:lang w:val="en-US"/>
        </w:rPr>
        <w:t>Çoban</w:t>
      </w:r>
      <w:proofErr w:type="spellEnd"/>
      <w:r w:rsidRPr="00D45885">
        <w:rPr>
          <w:rFonts w:eastAsiaTheme="minorEastAsia"/>
          <w:lang w:val="en-US"/>
        </w:rPr>
        <w:t xml:space="preserve">, 2012: 167).  At  the  end  of  2008,  after  worldwide  crisis becoming  deeper with  the  bankrupt   of Lehman  Brothers, world  economy  showed  a strong  improvement, but lost an  acceleration  again  beginning   from  the  second   half  of 2011. </w:t>
      </w:r>
    </w:p>
    <w:p w:rsidR="00D45885" w:rsidRPr="00D45885" w:rsidRDefault="00D45885" w:rsidP="00D45885">
      <w:pPr>
        <w:jc w:val="both"/>
        <w:rPr>
          <w:rFonts w:eastAsiaTheme="minorEastAsia"/>
          <w:b/>
          <w:lang w:val="en-US"/>
        </w:rPr>
      </w:pPr>
    </w:p>
    <w:p w:rsidR="00D45885" w:rsidRDefault="00D45885" w:rsidP="00D45885">
      <w:pPr>
        <w:ind w:right="43"/>
        <w:jc w:val="both"/>
        <w:outlineLvl w:val="1"/>
        <w:rPr>
          <w:b/>
          <w:bCs/>
          <w:lang w:val="en-US"/>
        </w:rPr>
      </w:pPr>
      <w:r w:rsidRPr="00D45885">
        <w:rPr>
          <w:b/>
          <w:bCs/>
          <w:lang w:val="en-US"/>
        </w:rPr>
        <w:t>Conclusion</w:t>
      </w:r>
    </w:p>
    <w:p w:rsidR="00D45885" w:rsidRPr="00D45885" w:rsidRDefault="00D45885" w:rsidP="00D45885">
      <w:pPr>
        <w:ind w:right="43"/>
        <w:jc w:val="both"/>
        <w:outlineLvl w:val="1"/>
        <w:rPr>
          <w:b/>
          <w:bCs/>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Also  before 2011,  Turkey  that  could not  catch a stable growth   trend,   along   with  2008  Global Crisis,   experienced   a  fall  in  its   growth   rate  from   time  to   time.  The high  growth  experienced  in   the  first  quarter  of 2008  was   mostly   resulted  from   the  increase   in  internal   demand.  Beginning   from   the  second    quarter of 2008,   the fall  in growth  rate  began in  the  growth  </w:t>
      </w:r>
      <w:proofErr w:type="spellStart"/>
      <w:r w:rsidRPr="00D45885">
        <w:rPr>
          <w:rFonts w:eastAsiaTheme="minorEastAsia"/>
          <w:lang w:val="en-US"/>
        </w:rPr>
        <w:t>ratezs</w:t>
      </w:r>
      <w:proofErr w:type="spellEnd"/>
      <w:r w:rsidRPr="00D45885">
        <w:rPr>
          <w:rFonts w:eastAsiaTheme="minorEastAsia"/>
          <w:lang w:val="en-US"/>
        </w:rPr>
        <w:t xml:space="preserve">   and   in respect  with   third  quarter,   the  effects   of   international   crisis  were thoroughly   begun  to  be  felt.   Depending on </w:t>
      </w:r>
      <w:proofErr w:type="gramStart"/>
      <w:r w:rsidRPr="00D45885">
        <w:rPr>
          <w:rFonts w:eastAsiaTheme="minorEastAsia"/>
          <w:lang w:val="en-US"/>
        </w:rPr>
        <w:t>becoming  of</w:t>
      </w:r>
      <w:proofErr w:type="gramEnd"/>
      <w:r w:rsidRPr="00D45885">
        <w:rPr>
          <w:rFonts w:eastAsiaTheme="minorEastAsia"/>
          <w:lang w:val="en-US"/>
        </w:rPr>
        <w:t xml:space="preserve">   crisis  deeper,   the  growth  rate  continued   to   fall.  </w:t>
      </w:r>
      <w:proofErr w:type="gramStart"/>
      <w:r w:rsidRPr="00D45885">
        <w:rPr>
          <w:rFonts w:eastAsiaTheme="minorEastAsia"/>
          <w:lang w:val="en-US"/>
        </w:rPr>
        <w:t>In  addition</w:t>
      </w:r>
      <w:proofErr w:type="gramEnd"/>
      <w:r w:rsidRPr="00D45885">
        <w:rPr>
          <w:rFonts w:eastAsiaTheme="minorEastAsia"/>
          <w:lang w:val="en-US"/>
        </w:rPr>
        <w:t xml:space="preserve">:       </w:t>
      </w:r>
    </w:p>
    <w:p w:rsidR="00D45885" w:rsidRPr="00D45885" w:rsidRDefault="00D45885" w:rsidP="00D45885">
      <w:pPr>
        <w:numPr>
          <w:ilvl w:val="0"/>
          <w:numId w:val="1"/>
        </w:numPr>
        <w:jc w:val="both"/>
        <w:rPr>
          <w:rFonts w:eastAsia="Calibri"/>
          <w:lang w:val="en-US"/>
        </w:rPr>
      </w:pPr>
      <w:r w:rsidRPr="00D45885">
        <w:rPr>
          <w:rFonts w:eastAsia="Calibri"/>
          <w:lang w:val="en-US"/>
        </w:rPr>
        <w:t xml:space="preserve">The  last  crisis  is viewed as  the  mother   of  all  monetary  crises      </w:t>
      </w:r>
    </w:p>
    <w:p w:rsidR="00D45885" w:rsidRPr="00D45885" w:rsidRDefault="00D45885" w:rsidP="00D45885">
      <w:pPr>
        <w:numPr>
          <w:ilvl w:val="0"/>
          <w:numId w:val="1"/>
        </w:numPr>
        <w:contextualSpacing/>
        <w:jc w:val="both"/>
        <w:rPr>
          <w:rFonts w:eastAsiaTheme="minorEastAsia"/>
          <w:lang w:val="en-US"/>
        </w:rPr>
      </w:pPr>
      <w:r w:rsidRPr="00D45885">
        <w:rPr>
          <w:rFonts w:eastAsiaTheme="minorEastAsia"/>
          <w:lang w:val="en-US"/>
        </w:rPr>
        <w:t xml:space="preserve">Political stability, </w:t>
      </w:r>
      <w:proofErr w:type="gramStart"/>
      <w:r w:rsidRPr="00D45885">
        <w:rPr>
          <w:rFonts w:eastAsiaTheme="minorEastAsia"/>
          <w:lang w:val="en-US"/>
        </w:rPr>
        <w:t>structural  reforms</w:t>
      </w:r>
      <w:proofErr w:type="gramEnd"/>
      <w:r w:rsidRPr="00D45885">
        <w:rPr>
          <w:rFonts w:eastAsiaTheme="minorEastAsia"/>
          <w:lang w:val="en-US"/>
        </w:rPr>
        <w:t xml:space="preserve">, and  macroeconomic stability make  positive   contribution   to  the  growth  rates.  </w:t>
      </w:r>
    </w:p>
    <w:p w:rsidR="00D45885" w:rsidRPr="00D45885" w:rsidRDefault="00D45885" w:rsidP="00D45885">
      <w:pPr>
        <w:numPr>
          <w:ilvl w:val="0"/>
          <w:numId w:val="1"/>
        </w:numPr>
        <w:contextualSpacing/>
        <w:jc w:val="both"/>
        <w:rPr>
          <w:rFonts w:eastAsia="Calibri"/>
          <w:lang w:val="en-US"/>
        </w:rPr>
      </w:pPr>
      <w:r w:rsidRPr="00D45885">
        <w:rPr>
          <w:rFonts w:eastAsia="Calibri"/>
          <w:lang w:val="en-US"/>
        </w:rPr>
        <w:t xml:space="preserve">Diplomacy and  economic   activities  going  toward   from  multi - polarity   to  single polarity  affected  every  kind  of  institutes  and thee rules, supposed not  be  changed,  began to  change. </w:t>
      </w:r>
      <w:proofErr w:type="gramStart"/>
      <w:r w:rsidRPr="00D45885">
        <w:rPr>
          <w:rFonts w:eastAsia="Calibri"/>
          <w:lang w:val="en-US"/>
        </w:rPr>
        <w:t>While  the</w:t>
      </w:r>
      <w:proofErr w:type="gramEnd"/>
      <w:r w:rsidRPr="00D45885">
        <w:rPr>
          <w:rFonts w:eastAsia="Calibri"/>
          <w:lang w:val="en-US"/>
        </w:rPr>
        <w:t xml:space="preserve">  power  balances was reestablished,  acquiring  maximum share  will  be   the  best  result.  What  appears  from  here  is  that Federal  Reserve   Bank  did  not  intervene  and raise  the interests  in  American economy growing   and   experiencing  energy  outbreak   in the  years  </w:t>
      </w:r>
      <w:r w:rsidRPr="00D45885">
        <w:rPr>
          <w:rFonts w:eastAsia="Calibri"/>
          <w:lang w:val="en-US"/>
        </w:rPr>
        <w:lastRenderedPageBreak/>
        <w:t xml:space="preserve">before  the  last  crisis,  even  if   on  the   purpose  of   preventing  inflation  in  American  economy. </w:t>
      </w:r>
      <w:proofErr w:type="gramStart"/>
      <w:r w:rsidRPr="00D45885">
        <w:rPr>
          <w:rFonts w:eastAsia="Calibri"/>
          <w:lang w:val="en-US"/>
        </w:rPr>
        <w:t>As  a</w:t>
      </w:r>
      <w:proofErr w:type="gramEnd"/>
      <w:r w:rsidRPr="00D45885">
        <w:rPr>
          <w:rFonts w:eastAsia="Calibri"/>
          <w:lang w:val="en-US"/>
        </w:rPr>
        <w:t xml:space="preserve"> result of all  of these,  the  depression economy  returned.         </w:t>
      </w:r>
    </w:p>
    <w:p w:rsidR="00D45885" w:rsidRPr="00D45885" w:rsidRDefault="00D45885" w:rsidP="00D45885">
      <w:pPr>
        <w:numPr>
          <w:ilvl w:val="0"/>
          <w:numId w:val="1"/>
        </w:numPr>
        <w:contextualSpacing/>
        <w:jc w:val="both"/>
        <w:rPr>
          <w:rFonts w:eastAsia="Calibri"/>
          <w:lang w:val="en-US"/>
        </w:rPr>
      </w:pPr>
      <w:proofErr w:type="gramStart"/>
      <w:r w:rsidRPr="00D45885">
        <w:rPr>
          <w:rFonts w:eastAsia="Calibri"/>
          <w:lang w:val="en-US"/>
        </w:rPr>
        <w:t>Crisis  affected</w:t>
      </w:r>
      <w:proofErr w:type="gramEnd"/>
      <w:r w:rsidRPr="00D45885">
        <w:rPr>
          <w:rFonts w:eastAsia="Calibri"/>
          <w:lang w:val="en-US"/>
        </w:rPr>
        <w:t xml:space="preserve">   all  areas  in the  world. </w:t>
      </w:r>
      <w:proofErr w:type="gramStart"/>
      <w:r w:rsidRPr="00D45885">
        <w:rPr>
          <w:rFonts w:eastAsia="Calibri"/>
          <w:lang w:val="en-US"/>
        </w:rPr>
        <w:t>Along  with</w:t>
      </w:r>
      <w:proofErr w:type="gramEnd"/>
      <w:r w:rsidRPr="00D45885">
        <w:rPr>
          <w:rFonts w:eastAsia="Calibri"/>
          <w:lang w:val="en-US"/>
        </w:rPr>
        <w:t xml:space="preserve">  the  global  crisis   experienced  some  paradigms  determining   the world   and  Turkey   economy collapsed.   </w:t>
      </w:r>
      <w:proofErr w:type="gramStart"/>
      <w:r w:rsidRPr="00D45885">
        <w:rPr>
          <w:rFonts w:eastAsia="Calibri"/>
          <w:lang w:val="en-US"/>
        </w:rPr>
        <w:t>This  collapse</w:t>
      </w:r>
      <w:proofErr w:type="gramEnd"/>
      <w:r w:rsidRPr="00D45885">
        <w:rPr>
          <w:rFonts w:eastAsia="Calibri"/>
          <w:lang w:val="en-US"/>
        </w:rPr>
        <w:t xml:space="preserve">  is also  the  predictor  of  new  formation  after  crisis.   </w:t>
      </w:r>
      <w:proofErr w:type="gramStart"/>
      <w:r w:rsidRPr="00D45885">
        <w:rPr>
          <w:rFonts w:eastAsia="Calibri"/>
          <w:lang w:val="en-US"/>
        </w:rPr>
        <w:t>For  example</w:t>
      </w:r>
      <w:proofErr w:type="gramEnd"/>
      <w:r w:rsidRPr="00D45885">
        <w:rPr>
          <w:rFonts w:eastAsia="Calibri"/>
          <w:lang w:val="en-US"/>
        </w:rPr>
        <w:t xml:space="preserve">,   China   economy  is expected  to  reach a growth  of  $ 30  trillion  in 2040. When  considering  the  effect  of China,  it  will  not   be wrong   to  say  that new  economic  order  will pass  to labor intensive  system </w:t>
      </w:r>
      <w:proofErr w:type="spellStart"/>
      <w:r w:rsidRPr="00D45885">
        <w:rPr>
          <w:rFonts w:eastAsia="Calibri"/>
          <w:lang w:val="en-US"/>
        </w:rPr>
        <w:t>again.The</w:t>
      </w:r>
      <w:proofErr w:type="spellEnd"/>
      <w:r w:rsidRPr="00D45885">
        <w:rPr>
          <w:rFonts w:eastAsia="Calibri"/>
          <w:lang w:val="en-US"/>
        </w:rPr>
        <w:t xml:space="preserve"> labor– intensive   strategy   here implies   brain  power,  not   the  muscle  force.  That  is,   the  essence   of  creating  economic  value   any  longer  became  knowledge  </w:t>
      </w:r>
    </w:p>
    <w:p w:rsidR="00D45885" w:rsidRPr="00D45885" w:rsidRDefault="00D45885" w:rsidP="00D45885">
      <w:pPr>
        <w:numPr>
          <w:ilvl w:val="0"/>
          <w:numId w:val="1"/>
        </w:numPr>
        <w:contextualSpacing/>
        <w:jc w:val="both"/>
        <w:rPr>
          <w:rFonts w:eastAsia="Calibri"/>
          <w:lang w:val="en-US"/>
        </w:rPr>
      </w:pPr>
      <w:r w:rsidRPr="00D45885">
        <w:rPr>
          <w:rFonts w:eastAsia="Calibri"/>
          <w:lang w:val="en-US"/>
        </w:rPr>
        <w:t xml:space="preserve">At  the point,  where  global crisis  turned  into  global   crisis,  and deeply   affected   the real   sector,  crisis  became a debt  crisis.  At  the  moment,  EU  countries  are  experiencing  the best  example  of this  situation . While  Europe is  experiencing    crisis,  that   Asian  countries   are  growing   gives   an  opinion  to  us about   the  new  system and new  world. </w:t>
      </w:r>
      <w:proofErr w:type="gramStart"/>
      <w:r w:rsidRPr="00D45885">
        <w:rPr>
          <w:rFonts w:eastAsia="Calibri"/>
          <w:lang w:val="en-US"/>
        </w:rPr>
        <w:t>Economic  dynamic</w:t>
      </w:r>
      <w:proofErr w:type="gramEnd"/>
      <w:r w:rsidRPr="00D45885">
        <w:rPr>
          <w:rFonts w:eastAsia="Calibri"/>
          <w:lang w:val="en-US"/>
        </w:rPr>
        <w:t xml:space="preserve">   is rapidly   shifting toward  Asia. </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b/>
          <w:lang w:val="en-US"/>
        </w:rPr>
      </w:pPr>
      <w:r w:rsidRPr="00D45885">
        <w:rPr>
          <w:rFonts w:eastAsiaTheme="minorEastAsia"/>
          <w:b/>
          <w:lang w:val="en-US"/>
        </w:rPr>
        <w:t>References</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snapToGrid w:val="0"/>
          <w:lang w:val="en-US"/>
        </w:rPr>
      </w:pPr>
      <w:proofErr w:type="gramStart"/>
      <w:r w:rsidRPr="00D45885">
        <w:rPr>
          <w:rFonts w:eastAsiaTheme="minorEastAsia"/>
          <w:snapToGrid w:val="0"/>
          <w:lang w:val="en-US"/>
        </w:rPr>
        <w:t>AKAT, A, S, (2009).</w:t>
      </w:r>
      <w:proofErr w:type="gramEnd"/>
      <w:r w:rsidRPr="00D45885">
        <w:rPr>
          <w:rFonts w:eastAsiaTheme="minorEastAsia"/>
          <w:snapToGrid w:val="0"/>
          <w:lang w:val="en-US"/>
        </w:rPr>
        <w:t xml:space="preserve"> “</w:t>
      </w:r>
      <w:proofErr w:type="spellStart"/>
      <w:r w:rsidRPr="00D45885">
        <w:rPr>
          <w:rFonts w:eastAsiaTheme="minorEastAsia"/>
          <w:snapToGrid w:val="0"/>
          <w:lang w:val="en-US"/>
        </w:rPr>
        <w:t>Yeni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Dönemi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Anlamak</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Tekstil</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İşveren</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Dergisi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Vol</w:t>
      </w:r>
      <w:proofErr w:type="spellEnd"/>
      <w:r w:rsidRPr="00D45885">
        <w:rPr>
          <w:rFonts w:eastAsiaTheme="minorEastAsia"/>
          <w:snapToGrid w:val="0"/>
          <w:lang w:val="en-US"/>
        </w:rPr>
        <w:t xml:space="preserve">: 348, Page: </w:t>
      </w:r>
    </w:p>
    <w:p w:rsidR="00D45885" w:rsidRDefault="00D45885" w:rsidP="00D45885">
      <w:pPr>
        <w:jc w:val="both"/>
        <w:rPr>
          <w:rFonts w:eastAsiaTheme="minorEastAsia"/>
          <w:snapToGrid w:val="0"/>
          <w:lang w:val="en-US"/>
        </w:rPr>
      </w:pPr>
      <w:proofErr w:type="gramStart"/>
      <w:r w:rsidRPr="00D45885">
        <w:rPr>
          <w:rFonts w:eastAsiaTheme="minorEastAsia"/>
          <w:snapToGrid w:val="0"/>
          <w:lang w:val="en-US"/>
        </w:rPr>
        <w:t>26-28, İstanbul.</w:t>
      </w:r>
      <w:proofErr w:type="gramEnd"/>
    </w:p>
    <w:p w:rsidR="00D45885" w:rsidRPr="00D45885" w:rsidRDefault="00D45885" w:rsidP="00D45885">
      <w:pPr>
        <w:jc w:val="both"/>
        <w:rPr>
          <w:rFonts w:eastAsiaTheme="minorEastAsia"/>
          <w:snapToGrid w:val="0"/>
          <w:lang w:val="en-US"/>
        </w:rPr>
      </w:pPr>
    </w:p>
    <w:p w:rsidR="00D45885" w:rsidRPr="00D45885" w:rsidRDefault="00D45885" w:rsidP="00D45885">
      <w:pPr>
        <w:jc w:val="both"/>
        <w:rPr>
          <w:rFonts w:eastAsiaTheme="minorEastAsia"/>
          <w:snapToGrid w:val="0"/>
          <w:lang w:val="en-US"/>
        </w:rPr>
      </w:pPr>
      <w:r w:rsidRPr="00D45885">
        <w:rPr>
          <w:rFonts w:eastAsiaTheme="minorEastAsia"/>
          <w:snapToGrid w:val="0"/>
          <w:lang w:val="en-US"/>
        </w:rPr>
        <w:t xml:space="preserve">AYDOĞUŞ, O, (2009). “2008-2009 (?) </w:t>
      </w:r>
      <w:proofErr w:type="spellStart"/>
      <w:r w:rsidRPr="00D45885">
        <w:rPr>
          <w:rFonts w:eastAsiaTheme="minorEastAsia"/>
          <w:snapToGrid w:val="0"/>
          <w:lang w:val="en-US"/>
        </w:rPr>
        <w:t>Küresel</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Krizden</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Geçerken</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Türkiye</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Ekonomisi</w:t>
      </w:r>
      <w:proofErr w:type="spellEnd"/>
      <w:r w:rsidRPr="00D45885">
        <w:rPr>
          <w:rFonts w:eastAsiaTheme="minorEastAsia"/>
          <w:snapToGrid w:val="0"/>
          <w:lang w:val="en-US"/>
        </w:rPr>
        <w:t xml:space="preserve"> </w:t>
      </w:r>
    </w:p>
    <w:p w:rsidR="00D45885" w:rsidRDefault="00D45885" w:rsidP="00D45885">
      <w:pPr>
        <w:jc w:val="both"/>
        <w:rPr>
          <w:rFonts w:eastAsiaTheme="minorEastAsia"/>
          <w:snapToGrid w:val="0"/>
          <w:lang w:val="en-US"/>
        </w:rPr>
      </w:pPr>
      <w:proofErr w:type="spellStart"/>
      <w:r w:rsidRPr="00D45885">
        <w:rPr>
          <w:rFonts w:eastAsiaTheme="minorEastAsia"/>
          <w:snapToGrid w:val="0"/>
          <w:lang w:val="en-US"/>
        </w:rPr>
        <w:t>Üzerine</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Bazı</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Gözlem</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ve</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Değerlendirmeler</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Türk</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Akademi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Vol</w:t>
      </w:r>
      <w:proofErr w:type="spellEnd"/>
      <w:r w:rsidRPr="00D45885">
        <w:rPr>
          <w:rFonts w:eastAsiaTheme="minorEastAsia"/>
          <w:snapToGrid w:val="0"/>
          <w:lang w:val="en-US"/>
        </w:rPr>
        <w:t>: 4 (</w:t>
      </w:r>
      <w:proofErr w:type="spellStart"/>
      <w:r w:rsidRPr="00D45885">
        <w:rPr>
          <w:rFonts w:eastAsiaTheme="minorEastAsia"/>
          <w:snapToGrid w:val="0"/>
          <w:lang w:val="en-US"/>
        </w:rPr>
        <w:t>Özel</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Sayı</w:t>
      </w:r>
      <w:proofErr w:type="spellEnd"/>
      <w:r w:rsidRPr="00D45885">
        <w:rPr>
          <w:rFonts w:eastAsiaTheme="minorEastAsia"/>
          <w:snapToGrid w:val="0"/>
          <w:lang w:val="en-US"/>
        </w:rPr>
        <w:t xml:space="preserve"> II), Page: 27-49, İstanbul.</w:t>
      </w:r>
    </w:p>
    <w:p w:rsidR="00D45885" w:rsidRPr="00D45885" w:rsidRDefault="00D45885" w:rsidP="00D45885">
      <w:pPr>
        <w:jc w:val="both"/>
        <w:rPr>
          <w:rFonts w:eastAsiaTheme="minorEastAsia"/>
          <w:snapToGrid w:val="0"/>
          <w:lang w:val="en-US"/>
        </w:rPr>
      </w:pPr>
    </w:p>
    <w:p w:rsidR="00D45885" w:rsidRDefault="00D45885" w:rsidP="00D45885">
      <w:pPr>
        <w:jc w:val="both"/>
        <w:rPr>
          <w:rFonts w:eastAsiaTheme="minorEastAsia"/>
          <w:lang w:val="en-US"/>
        </w:rPr>
      </w:pPr>
      <w:r w:rsidRPr="00D45885">
        <w:rPr>
          <w:rFonts w:eastAsiaTheme="minorEastAsia"/>
          <w:lang w:val="en-US"/>
        </w:rPr>
        <w:t xml:space="preserve">BERBER, M, (2004). </w:t>
      </w:r>
      <w:proofErr w:type="spellStart"/>
      <w:proofErr w:type="gramStart"/>
      <w:r w:rsidRPr="00D45885">
        <w:rPr>
          <w:rFonts w:eastAsiaTheme="minorEastAsia"/>
          <w:b/>
          <w:lang w:val="en-US"/>
        </w:rPr>
        <w:t>İktisadi</w:t>
      </w:r>
      <w:proofErr w:type="spellEnd"/>
      <w:r w:rsidRPr="00D45885">
        <w:rPr>
          <w:rFonts w:eastAsiaTheme="minorEastAsia"/>
          <w:b/>
          <w:lang w:val="en-US"/>
        </w:rPr>
        <w:t xml:space="preserve"> </w:t>
      </w:r>
      <w:proofErr w:type="spellStart"/>
      <w:r w:rsidRPr="00D45885">
        <w:rPr>
          <w:rFonts w:eastAsiaTheme="minorEastAsia"/>
          <w:b/>
          <w:lang w:val="en-US"/>
        </w:rPr>
        <w:t>Büyüme</w:t>
      </w:r>
      <w:proofErr w:type="spellEnd"/>
      <w:r w:rsidRPr="00D45885">
        <w:rPr>
          <w:rFonts w:eastAsiaTheme="minorEastAsia"/>
          <w:b/>
          <w:lang w:val="en-US"/>
        </w:rPr>
        <w:t xml:space="preserve"> </w:t>
      </w:r>
      <w:proofErr w:type="spellStart"/>
      <w:r w:rsidRPr="00D45885">
        <w:rPr>
          <w:rFonts w:eastAsiaTheme="minorEastAsia"/>
          <w:b/>
          <w:lang w:val="en-US"/>
        </w:rPr>
        <w:t>ve</w:t>
      </w:r>
      <w:proofErr w:type="spellEnd"/>
      <w:r w:rsidRPr="00D45885">
        <w:rPr>
          <w:rFonts w:eastAsiaTheme="minorEastAsia"/>
          <w:b/>
          <w:lang w:val="en-US"/>
        </w:rPr>
        <w:t xml:space="preserve"> </w:t>
      </w:r>
      <w:proofErr w:type="spellStart"/>
      <w:r w:rsidRPr="00D45885">
        <w:rPr>
          <w:rFonts w:eastAsiaTheme="minorEastAsia"/>
          <w:b/>
          <w:lang w:val="en-US"/>
        </w:rPr>
        <w:t>Kalkınma</w:t>
      </w:r>
      <w:proofErr w:type="spellEnd"/>
      <w:r w:rsidRPr="00D45885">
        <w:rPr>
          <w:rFonts w:eastAsiaTheme="minorEastAsia"/>
          <w:lang w:val="en-US"/>
        </w:rPr>
        <w:t xml:space="preserve">, </w:t>
      </w:r>
      <w:proofErr w:type="spellStart"/>
      <w:r w:rsidRPr="00D45885">
        <w:rPr>
          <w:rFonts w:eastAsiaTheme="minorEastAsia"/>
          <w:lang w:val="en-US"/>
        </w:rPr>
        <w:t>Derya</w:t>
      </w:r>
      <w:proofErr w:type="spellEnd"/>
      <w:r w:rsidRPr="00D45885">
        <w:rPr>
          <w:rFonts w:eastAsiaTheme="minorEastAsia"/>
          <w:lang w:val="en-US"/>
        </w:rPr>
        <w:t xml:space="preserve"> </w:t>
      </w:r>
      <w:proofErr w:type="spellStart"/>
      <w:r w:rsidRPr="00D45885">
        <w:rPr>
          <w:rFonts w:eastAsiaTheme="minorEastAsia"/>
          <w:lang w:val="en-US"/>
        </w:rPr>
        <w:t>Kitabevi</w:t>
      </w:r>
      <w:proofErr w:type="spellEnd"/>
      <w:r w:rsidRPr="00D45885">
        <w:rPr>
          <w:rFonts w:eastAsiaTheme="minorEastAsia"/>
          <w:lang w:val="en-US"/>
        </w:rPr>
        <w:t>, 2.</w:t>
      </w:r>
      <w:proofErr w:type="gramEnd"/>
      <w:r w:rsidRPr="00D45885">
        <w:rPr>
          <w:rFonts w:eastAsiaTheme="minorEastAsia"/>
          <w:lang w:val="en-US"/>
        </w:rPr>
        <w:t xml:space="preserve"> </w:t>
      </w:r>
      <w:proofErr w:type="spellStart"/>
      <w:r w:rsidRPr="00D45885">
        <w:rPr>
          <w:rFonts w:eastAsiaTheme="minorEastAsia"/>
          <w:lang w:val="en-US"/>
        </w:rPr>
        <w:t>Baskı</w:t>
      </w:r>
      <w:proofErr w:type="spellEnd"/>
      <w:r w:rsidRPr="00D45885">
        <w:rPr>
          <w:rFonts w:eastAsiaTheme="minorEastAsia"/>
          <w:lang w:val="en-US"/>
        </w:rPr>
        <w:t>, Trabzon.</w:t>
      </w:r>
    </w:p>
    <w:p w:rsidR="00D45885" w:rsidRPr="00D45885" w:rsidRDefault="00D45885" w:rsidP="00D45885">
      <w:pPr>
        <w:jc w:val="both"/>
        <w:rPr>
          <w:rFonts w:eastAsiaTheme="minorEastAsia"/>
          <w:lang w:val="en-US"/>
        </w:rPr>
      </w:pPr>
    </w:p>
    <w:p w:rsidR="00D45885" w:rsidRDefault="00D45885" w:rsidP="00D45885">
      <w:pPr>
        <w:jc w:val="both"/>
        <w:rPr>
          <w:rFonts w:eastAsiaTheme="minorEastAsia"/>
          <w:lang w:val="en-US"/>
        </w:rPr>
      </w:pPr>
      <w:r w:rsidRPr="00D45885">
        <w:rPr>
          <w:rFonts w:eastAsiaTheme="minorEastAsia"/>
          <w:lang w:val="en-US"/>
        </w:rPr>
        <w:t>ÇOBAN</w:t>
      </w:r>
      <w:proofErr w:type="gramStart"/>
      <w:r w:rsidRPr="00D45885">
        <w:rPr>
          <w:rFonts w:eastAsiaTheme="minorEastAsia"/>
          <w:lang w:val="en-US"/>
        </w:rPr>
        <w:t>,Y</w:t>
      </w:r>
      <w:proofErr w:type="gramEnd"/>
      <w:r w:rsidRPr="00D45885">
        <w:rPr>
          <w:rFonts w:eastAsiaTheme="minorEastAsia"/>
          <w:lang w:val="en-US"/>
        </w:rPr>
        <w:t xml:space="preserve">, (2012). </w:t>
      </w:r>
      <w:proofErr w:type="spellStart"/>
      <w:r w:rsidRPr="00D45885">
        <w:rPr>
          <w:rFonts w:eastAsiaTheme="minorEastAsia"/>
          <w:b/>
          <w:lang w:val="en-US"/>
        </w:rPr>
        <w:t>Türkiye</w:t>
      </w:r>
      <w:proofErr w:type="spellEnd"/>
      <w:r w:rsidRPr="00D45885">
        <w:rPr>
          <w:rFonts w:eastAsiaTheme="minorEastAsia"/>
          <w:b/>
          <w:lang w:val="en-US"/>
        </w:rPr>
        <w:t xml:space="preserve"> </w:t>
      </w:r>
      <w:proofErr w:type="spellStart"/>
      <w:r w:rsidRPr="00D45885">
        <w:rPr>
          <w:rFonts w:eastAsiaTheme="minorEastAsia"/>
          <w:b/>
          <w:lang w:val="en-US"/>
        </w:rPr>
        <w:t>Ekonomisi</w:t>
      </w:r>
      <w:proofErr w:type="spellEnd"/>
      <w:r w:rsidRPr="00D45885">
        <w:rPr>
          <w:rFonts w:eastAsiaTheme="minorEastAsia"/>
          <w:lang w:val="en-US"/>
        </w:rPr>
        <w:t xml:space="preserve">, </w:t>
      </w:r>
      <w:proofErr w:type="spellStart"/>
      <w:r w:rsidRPr="00D45885">
        <w:rPr>
          <w:rFonts w:eastAsiaTheme="minorEastAsia"/>
          <w:lang w:val="en-US"/>
        </w:rPr>
        <w:t>İkinci</w:t>
      </w:r>
      <w:proofErr w:type="spellEnd"/>
      <w:r w:rsidRPr="00D45885">
        <w:rPr>
          <w:rFonts w:eastAsiaTheme="minorEastAsia"/>
          <w:lang w:val="en-US"/>
        </w:rPr>
        <w:t xml:space="preserve"> </w:t>
      </w:r>
      <w:proofErr w:type="spellStart"/>
      <w:r w:rsidRPr="00D45885">
        <w:rPr>
          <w:rFonts w:eastAsiaTheme="minorEastAsia"/>
          <w:lang w:val="en-US"/>
        </w:rPr>
        <w:t>Sayfa</w:t>
      </w:r>
      <w:proofErr w:type="spellEnd"/>
      <w:r w:rsidRPr="00D45885">
        <w:rPr>
          <w:rFonts w:eastAsiaTheme="minorEastAsia"/>
          <w:lang w:val="en-US"/>
        </w:rPr>
        <w:t xml:space="preserve"> </w:t>
      </w:r>
      <w:proofErr w:type="spellStart"/>
      <w:r w:rsidRPr="00D45885">
        <w:rPr>
          <w:rFonts w:eastAsiaTheme="minorEastAsia"/>
          <w:lang w:val="en-US"/>
        </w:rPr>
        <w:t>Yayınları</w:t>
      </w:r>
      <w:proofErr w:type="spellEnd"/>
      <w:r w:rsidRPr="00D45885">
        <w:rPr>
          <w:rFonts w:eastAsiaTheme="minorEastAsia"/>
          <w:lang w:val="en-US"/>
        </w:rPr>
        <w:t>, İstanbul.</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snapToGrid w:val="0"/>
          <w:lang w:val="en-US"/>
        </w:rPr>
      </w:pPr>
      <w:r w:rsidRPr="00D45885">
        <w:rPr>
          <w:rFonts w:eastAsiaTheme="minorEastAsia"/>
          <w:snapToGrid w:val="0"/>
          <w:lang w:val="en-US"/>
        </w:rPr>
        <w:t xml:space="preserve">ÇOLAK, Ö, F, (2009). “2008 </w:t>
      </w:r>
      <w:proofErr w:type="spellStart"/>
      <w:r w:rsidRPr="00D45885">
        <w:rPr>
          <w:rFonts w:eastAsiaTheme="minorEastAsia"/>
          <w:snapToGrid w:val="0"/>
          <w:lang w:val="en-US"/>
        </w:rPr>
        <w:t>Krizinin</w:t>
      </w:r>
      <w:proofErr w:type="spellEnd"/>
      <w:r w:rsidRPr="00D45885">
        <w:rPr>
          <w:rFonts w:eastAsiaTheme="minorEastAsia"/>
          <w:snapToGrid w:val="0"/>
          <w:lang w:val="en-US"/>
        </w:rPr>
        <w:t xml:space="preserve"> 1929 </w:t>
      </w:r>
      <w:proofErr w:type="spellStart"/>
      <w:r w:rsidRPr="00D45885">
        <w:rPr>
          <w:rFonts w:eastAsiaTheme="minorEastAsia"/>
          <w:snapToGrid w:val="0"/>
          <w:lang w:val="en-US"/>
        </w:rPr>
        <w:t>Krizi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ile</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Benzerlikleri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Üzerine</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Bir</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Analiz</w:t>
      </w:r>
      <w:proofErr w:type="spellEnd"/>
      <w:r w:rsidRPr="00D45885">
        <w:rPr>
          <w:rFonts w:eastAsiaTheme="minorEastAsia"/>
          <w:snapToGrid w:val="0"/>
          <w:lang w:val="en-US"/>
        </w:rPr>
        <w:t xml:space="preserve">”, </w:t>
      </w:r>
    </w:p>
    <w:p w:rsidR="00D45885" w:rsidRDefault="00D45885" w:rsidP="00D45885">
      <w:pPr>
        <w:jc w:val="both"/>
        <w:rPr>
          <w:rFonts w:eastAsiaTheme="minorEastAsia"/>
          <w:snapToGrid w:val="0"/>
          <w:lang w:val="en-US"/>
        </w:rPr>
      </w:pPr>
      <w:r>
        <w:rPr>
          <w:rFonts w:eastAsiaTheme="minorEastAsia"/>
          <w:snapToGrid w:val="0"/>
          <w:lang w:val="en-US"/>
        </w:rPr>
        <w:t xml:space="preserve"> </w:t>
      </w:r>
      <w:r w:rsidRPr="00D45885">
        <w:rPr>
          <w:rFonts w:eastAsiaTheme="minorEastAsia"/>
          <w:snapToGrid w:val="0"/>
          <w:lang w:val="en-US"/>
        </w:rPr>
        <w:t xml:space="preserve">TİSK </w:t>
      </w:r>
      <w:proofErr w:type="spellStart"/>
      <w:r w:rsidRPr="00D45885">
        <w:rPr>
          <w:rFonts w:eastAsiaTheme="minorEastAsia"/>
          <w:snapToGrid w:val="0"/>
          <w:lang w:val="en-US"/>
        </w:rPr>
        <w:t>Akademi</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Vol</w:t>
      </w:r>
      <w:proofErr w:type="spellEnd"/>
      <w:r w:rsidRPr="00D45885">
        <w:rPr>
          <w:rFonts w:eastAsiaTheme="minorEastAsia"/>
          <w:snapToGrid w:val="0"/>
          <w:lang w:val="en-US"/>
        </w:rPr>
        <w:t>: 4 (</w:t>
      </w:r>
      <w:proofErr w:type="spellStart"/>
      <w:r w:rsidRPr="00D45885">
        <w:rPr>
          <w:rFonts w:eastAsiaTheme="minorEastAsia"/>
          <w:snapToGrid w:val="0"/>
          <w:lang w:val="en-US"/>
        </w:rPr>
        <w:t>Özel</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Sayı</w:t>
      </w:r>
      <w:proofErr w:type="spellEnd"/>
      <w:r w:rsidRPr="00D45885">
        <w:rPr>
          <w:rFonts w:eastAsiaTheme="minorEastAsia"/>
          <w:snapToGrid w:val="0"/>
          <w:lang w:val="en-US"/>
        </w:rPr>
        <w:t xml:space="preserve"> II), Page: 51-69, İstanbul.</w:t>
      </w:r>
    </w:p>
    <w:p w:rsidR="00D45885" w:rsidRPr="00D45885" w:rsidRDefault="00D45885" w:rsidP="00D45885">
      <w:pPr>
        <w:jc w:val="both"/>
        <w:rPr>
          <w:rFonts w:eastAsiaTheme="minorEastAsia"/>
          <w:snapToGrid w:val="0"/>
          <w:lang w:val="en-US"/>
        </w:rPr>
      </w:pPr>
    </w:p>
    <w:p w:rsidR="00D45885" w:rsidRDefault="00D45885" w:rsidP="00D45885">
      <w:pPr>
        <w:jc w:val="both"/>
        <w:rPr>
          <w:rFonts w:eastAsiaTheme="minorEastAsia"/>
          <w:lang w:val="en-US"/>
        </w:rPr>
      </w:pPr>
      <w:r w:rsidRPr="00D45885">
        <w:rPr>
          <w:rFonts w:eastAsiaTheme="minorEastAsia"/>
          <w:lang w:val="en-US"/>
        </w:rPr>
        <w:t xml:space="preserve">EĞİLMEZ, M, (2012). </w:t>
      </w:r>
      <w:proofErr w:type="spellStart"/>
      <w:r w:rsidRPr="00D45885">
        <w:rPr>
          <w:rFonts w:eastAsiaTheme="minorEastAsia"/>
          <w:b/>
          <w:lang w:val="en-US"/>
        </w:rPr>
        <w:t>Kolay</w:t>
      </w:r>
      <w:proofErr w:type="spellEnd"/>
      <w:r w:rsidRPr="00D45885">
        <w:rPr>
          <w:rFonts w:eastAsiaTheme="minorEastAsia"/>
          <w:b/>
          <w:lang w:val="en-US"/>
        </w:rPr>
        <w:t xml:space="preserve"> </w:t>
      </w:r>
      <w:proofErr w:type="spellStart"/>
      <w:r w:rsidRPr="00D45885">
        <w:rPr>
          <w:rFonts w:eastAsiaTheme="minorEastAsia"/>
          <w:b/>
          <w:lang w:val="en-US"/>
        </w:rPr>
        <w:t>Ekonomi</w:t>
      </w:r>
      <w:proofErr w:type="spellEnd"/>
      <w:r w:rsidRPr="00D45885">
        <w:rPr>
          <w:rFonts w:eastAsiaTheme="minorEastAsia"/>
          <w:lang w:val="en-US"/>
        </w:rPr>
        <w:t xml:space="preserve">, </w:t>
      </w:r>
      <w:proofErr w:type="spellStart"/>
      <w:r w:rsidRPr="00D45885">
        <w:rPr>
          <w:rFonts w:eastAsiaTheme="minorEastAsia"/>
          <w:lang w:val="en-US"/>
        </w:rPr>
        <w:t>Remzi</w:t>
      </w:r>
      <w:proofErr w:type="spellEnd"/>
      <w:r w:rsidRPr="00D45885">
        <w:rPr>
          <w:rFonts w:eastAsiaTheme="minorEastAsia"/>
          <w:lang w:val="en-US"/>
        </w:rPr>
        <w:t xml:space="preserve"> </w:t>
      </w:r>
      <w:proofErr w:type="spellStart"/>
      <w:r w:rsidRPr="00D45885">
        <w:rPr>
          <w:rFonts w:eastAsiaTheme="minorEastAsia"/>
          <w:lang w:val="en-US"/>
        </w:rPr>
        <w:t>Kitabevi</w:t>
      </w:r>
      <w:proofErr w:type="spellEnd"/>
      <w:r w:rsidRPr="00D45885">
        <w:rPr>
          <w:rFonts w:eastAsiaTheme="minorEastAsia"/>
          <w:lang w:val="en-US"/>
        </w:rPr>
        <w:t xml:space="preserve">, 2. </w:t>
      </w:r>
      <w:proofErr w:type="spellStart"/>
      <w:proofErr w:type="gramStart"/>
      <w:r w:rsidRPr="00D45885">
        <w:rPr>
          <w:rFonts w:eastAsiaTheme="minorEastAsia"/>
          <w:lang w:val="en-US"/>
        </w:rPr>
        <w:t>Baskı</w:t>
      </w:r>
      <w:proofErr w:type="spellEnd"/>
      <w:r w:rsidRPr="00D45885">
        <w:rPr>
          <w:rFonts w:eastAsiaTheme="minorEastAsia"/>
          <w:lang w:val="en-US"/>
        </w:rPr>
        <w:t>, İstanbul.</w:t>
      </w:r>
      <w:proofErr w:type="gramEnd"/>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EĞİLMEZ, M, KUMCU, E, (2011). </w:t>
      </w:r>
      <w:proofErr w:type="spellStart"/>
      <w:r w:rsidRPr="00D45885">
        <w:rPr>
          <w:rFonts w:eastAsiaTheme="minorEastAsia"/>
          <w:b/>
          <w:lang w:val="en-US"/>
        </w:rPr>
        <w:t>Ekonomi</w:t>
      </w:r>
      <w:proofErr w:type="spellEnd"/>
      <w:r w:rsidRPr="00D45885">
        <w:rPr>
          <w:rFonts w:eastAsiaTheme="minorEastAsia"/>
          <w:b/>
          <w:lang w:val="en-US"/>
        </w:rPr>
        <w:t xml:space="preserve"> </w:t>
      </w:r>
      <w:proofErr w:type="spellStart"/>
      <w:r w:rsidRPr="00D45885">
        <w:rPr>
          <w:rFonts w:eastAsiaTheme="minorEastAsia"/>
          <w:b/>
          <w:lang w:val="en-US"/>
        </w:rPr>
        <w:t>Politikası-Teori</w:t>
      </w:r>
      <w:proofErr w:type="spellEnd"/>
      <w:r w:rsidRPr="00D45885">
        <w:rPr>
          <w:rFonts w:eastAsiaTheme="minorEastAsia"/>
          <w:b/>
          <w:lang w:val="en-US"/>
        </w:rPr>
        <w:t xml:space="preserve"> </w:t>
      </w:r>
      <w:proofErr w:type="spellStart"/>
      <w:r w:rsidRPr="00D45885">
        <w:rPr>
          <w:rFonts w:eastAsiaTheme="minorEastAsia"/>
          <w:b/>
          <w:lang w:val="en-US"/>
        </w:rPr>
        <w:t>ve</w:t>
      </w:r>
      <w:proofErr w:type="spellEnd"/>
      <w:r w:rsidRPr="00D45885">
        <w:rPr>
          <w:rFonts w:eastAsiaTheme="minorEastAsia"/>
          <w:b/>
          <w:lang w:val="en-US"/>
        </w:rPr>
        <w:t xml:space="preserve"> </w:t>
      </w:r>
      <w:proofErr w:type="spellStart"/>
      <w:r w:rsidRPr="00D45885">
        <w:rPr>
          <w:rFonts w:eastAsiaTheme="minorEastAsia"/>
          <w:b/>
          <w:lang w:val="en-US"/>
        </w:rPr>
        <w:t>Türkiye</w:t>
      </w:r>
      <w:proofErr w:type="spellEnd"/>
      <w:r w:rsidRPr="00D45885">
        <w:rPr>
          <w:rFonts w:eastAsiaTheme="minorEastAsia"/>
          <w:lang w:val="en-US"/>
        </w:rPr>
        <w:t xml:space="preserve"> </w:t>
      </w:r>
      <w:proofErr w:type="spellStart"/>
      <w:r w:rsidRPr="00D45885">
        <w:rPr>
          <w:rFonts w:eastAsiaTheme="minorEastAsia"/>
          <w:b/>
          <w:lang w:val="en-US"/>
        </w:rPr>
        <w:t>Uygulaması</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r w:rsidRPr="00D45885">
        <w:rPr>
          <w:rFonts w:eastAsiaTheme="minorEastAsia"/>
          <w:lang w:val="en-US"/>
        </w:rPr>
        <w:t>Remzi</w:t>
      </w:r>
      <w:proofErr w:type="spellEnd"/>
      <w:r w:rsidRPr="00D45885">
        <w:rPr>
          <w:rFonts w:eastAsiaTheme="minorEastAsia"/>
          <w:lang w:val="en-US"/>
        </w:rPr>
        <w:t xml:space="preserve"> </w:t>
      </w:r>
      <w:proofErr w:type="spellStart"/>
      <w:r w:rsidRPr="00D45885">
        <w:rPr>
          <w:rFonts w:eastAsiaTheme="minorEastAsia"/>
          <w:lang w:val="en-US"/>
        </w:rPr>
        <w:t>Kitabevi</w:t>
      </w:r>
      <w:proofErr w:type="spellEnd"/>
      <w:r w:rsidRPr="00D45885">
        <w:rPr>
          <w:rFonts w:eastAsiaTheme="minorEastAsia"/>
          <w:lang w:val="en-US"/>
        </w:rPr>
        <w:t xml:space="preserve">, 11. </w:t>
      </w:r>
      <w:proofErr w:type="spellStart"/>
      <w:proofErr w:type="gramStart"/>
      <w:r w:rsidRPr="00D45885">
        <w:rPr>
          <w:rFonts w:eastAsiaTheme="minorEastAsia"/>
          <w:lang w:val="en-US"/>
        </w:rPr>
        <w:t>Baskı</w:t>
      </w:r>
      <w:proofErr w:type="spellEnd"/>
      <w:r w:rsidRPr="00D45885">
        <w:rPr>
          <w:rFonts w:eastAsiaTheme="minorEastAsia"/>
          <w:lang w:val="en-US"/>
        </w:rPr>
        <w:t>, İstanbul.</w:t>
      </w:r>
      <w:proofErr w:type="gramEnd"/>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KESİCİ, M, (2010). “</w:t>
      </w:r>
      <w:proofErr w:type="spellStart"/>
      <w:r w:rsidRPr="00D45885">
        <w:rPr>
          <w:rFonts w:eastAsiaTheme="minorEastAsia"/>
          <w:lang w:val="en-US"/>
        </w:rPr>
        <w:t>Türkiye</w:t>
      </w:r>
      <w:proofErr w:type="spellEnd"/>
      <w:r w:rsidRPr="00D45885">
        <w:rPr>
          <w:rFonts w:eastAsiaTheme="minorEastAsia"/>
          <w:lang w:val="en-US"/>
        </w:rPr>
        <w:t xml:space="preserve"> </w:t>
      </w:r>
      <w:proofErr w:type="spellStart"/>
      <w:r w:rsidRPr="00D45885">
        <w:rPr>
          <w:rFonts w:eastAsiaTheme="minorEastAsia"/>
          <w:lang w:val="en-US"/>
        </w:rPr>
        <w:t>Ekonomisinin</w:t>
      </w:r>
      <w:proofErr w:type="spellEnd"/>
      <w:r w:rsidRPr="00D45885">
        <w:rPr>
          <w:rFonts w:eastAsiaTheme="minorEastAsia"/>
          <w:lang w:val="en-US"/>
        </w:rPr>
        <w:t xml:space="preserve"> </w:t>
      </w:r>
      <w:proofErr w:type="spellStart"/>
      <w:r w:rsidRPr="00D45885">
        <w:rPr>
          <w:rFonts w:eastAsiaTheme="minorEastAsia"/>
          <w:lang w:val="en-US"/>
        </w:rPr>
        <w:t>Yüksek</w:t>
      </w:r>
      <w:proofErr w:type="spellEnd"/>
      <w:r w:rsidRPr="00D45885">
        <w:rPr>
          <w:rFonts w:eastAsiaTheme="minorEastAsia"/>
          <w:lang w:val="en-US"/>
        </w:rPr>
        <w:t xml:space="preserve"> </w:t>
      </w:r>
      <w:proofErr w:type="spellStart"/>
      <w:r w:rsidRPr="00D45885">
        <w:rPr>
          <w:rFonts w:eastAsiaTheme="minorEastAsia"/>
          <w:lang w:val="en-US"/>
        </w:rPr>
        <w:t>Büyüme</w:t>
      </w:r>
      <w:proofErr w:type="spellEnd"/>
      <w:r w:rsidRPr="00D45885">
        <w:rPr>
          <w:rFonts w:eastAsiaTheme="minorEastAsia"/>
          <w:lang w:val="en-US"/>
        </w:rPr>
        <w:t xml:space="preserve"> </w:t>
      </w:r>
      <w:proofErr w:type="spellStart"/>
      <w:r w:rsidRPr="00D45885">
        <w:rPr>
          <w:rFonts w:eastAsiaTheme="minorEastAsia"/>
          <w:lang w:val="en-US"/>
        </w:rPr>
        <w:t>Evresinde</w:t>
      </w:r>
      <w:proofErr w:type="spellEnd"/>
      <w:r w:rsidRPr="00D45885">
        <w:rPr>
          <w:rFonts w:eastAsiaTheme="minorEastAsia"/>
          <w:lang w:val="en-US"/>
        </w:rPr>
        <w:t xml:space="preserve"> </w:t>
      </w:r>
      <w:proofErr w:type="spellStart"/>
      <w:r w:rsidRPr="00D45885">
        <w:rPr>
          <w:rFonts w:eastAsiaTheme="minorEastAsia"/>
          <w:lang w:val="en-US"/>
        </w:rPr>
        <w:t>İstihdam</w:t>
      </w:r>
      <w:proofErr w:type="spellEnd"/>
      <w:r w:rsidRPr="00D45885">
        <w:rPr>
          <w:rFonts w:eastAsiaTheme="minorEastAsia"/>
          <w:lang w:val="en-US"/>
        </w:rPr>
        <w:t xml:space="preserve"> </w:t>
      </w:r>
      <w:proofErr w:type="spellStart"/>
      <w:r w:rsidRPr="00D45885">
        <w:rPr>
          <w:rFonts w:eastAsiaTheme="minorEastAsia"/>
          <w:lang w:val="en-US"/>
        </w:rPr>
        <w:t>ve</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r w:rsidRPr="00D45885">
        <w:rPr>
          <w:rFonts w:eastAsiaTheme="minorEastAsia"/>
          <w:lang w:val="en-US"/>
        </w:rPr>
        <w:t>İşsizlik</w:t>
      </w:r>
      <w:proofErr w:type="spellEnd"/>
      <w:r w:rsidRPr="00D45885">
        <w:rPr>
          <w:rFonts w:eastAsiaTheme="minorEastAsia"/>
          <w:lang w:val="en-US"/>
        </w:rPr>
        <w:t xml:space="preserve">”, </w:t>
      </w:r>
      <w:proofErr w:type="spellStart"/>
      <w:r w:rsidRPr="00D45885">
        <w:rPr>
          <w:rFonts w:eastAsiaTheme="minorEastAsia"/>
          <w:lang w:val="en-US"/>
        </w:rPr>
        <w:t>İş</w:t>
      </w:r>
      <w:proofErr w:type="spellEnd"/>
      <w:r w:rsidRPr="00D45885">
        <w:rPr>
          <w:rFonts w:eastAsiaTheme="minorEastAsia"/>
          <w:lang w:val="en-US"/>
        </w:rPr>
        <w:t xml:space="preserve">, </w:t>
      </w:r>
      <w:proofErr w:type="spellStart"/>
      <w:r w:rsidRPr="00D45885">
        <w:rPr>
          <w:rFonts w:eastAsiaTheme="minorEastAsia"/>
          <w:lang w:val="en-US"/>
        </w:rPr>
        <w:t>Güç</w:t>
      </w:r>
      <w:proofErr w:type="spellEnd"/>
      <w:r w:rsidRPr="00D45885">
        <w:rPr>
          <w:rFonts w:eastAsiaTheme="minorEastAsia"/>
          <w:lang w:val="en-US"/>
        </w:rPr>
        <w:t xml:space="preserve"> </w:t>
      </w:r>
      <w:proofErr w:type="spellStart"/>
      <w:r w:rsidRPr="00D45885">
        <w:rPr>
          <w:rFonts w:eastAsiaTheme="minorEastAsia"/>
          <w:lang w:val="en-US"/>
        </w:rPr>
        <w:t>Endüstri</w:t>
      </w:r>
      <w:proofErr w:type="spellEnd"/>
      <w:r w:rsidRPr="00D45885">
        <w:rPr>
          <w:rFonts w:eastAsiaTheme="minorEastAsia"/>
          <w:lang w:val="en-US"/>
        </w:rPr>
        <w:t xml:space="preserve"> </w:t>
      </w:r>
      <w:proofErr w:type="spellStart"/>
      <w:r w:rsidRPr="00D45885">
        <w:rPr>
          <w:rFonts w:eastAsiaTheme="minorEastAsia"/>
          <w:lang w:val="en-US"/>
        </w:rPr>
        <w:t>İlişkileri</w:t>
      </w:r>
      <w:proofErr w:type="spellEnd"/>
      <w:r w:rsidRPr="00D45885">
        <w:rPr>
          <w:rFonts w:eastAsiaTheme="minorEastAsia"/>
          <w:lang w:val="en-US"/>
        </w:rPr>
        <w:t xml:space="preserve"> </w:t>
      </w:r>
      <w:proofErr w:type="spellStart"/>
      <w:r w:rsidRPr="00D45885">
        <w:rPr>
          <w:rFonts w:eastAsiaTheme="minorEastAsia"/>
          <w:lang w:val="en-US"/>
        </w:rPr>
        <w:t>ve</w:t>
      </w:r>
      <w:proofErr w:type="spellEnd"/>
      <w:r w:rsidRPr="00D45885">
        <w:rPr>
          <w:rFonts w:eastAsiaTheme="minorEastAsia"/>
          <w:lang w:val="en-US"/>
        </w:rPr>
        <w:t xml:space="preserve"> </w:t>
      </w:r>
      <w:proofErr w:type="spellStart"/>
      <w:r w:rsidRPr="00D45885">
        <w:rPr>
          <w:rFonts w:eastAsiaTheme="minorEastAsia"/>
          <w:lang w:val="en-US"/>
        </w:rPr>
        <w:t>İnsan</w:t>
      </w:r>
      <w:proofErr w:type="spellEnd"/>
      <w:r w:rsidRPr="00D45885">
        <w:rPr>
          <w:rFonts w:eastAsiaTheme="minorEastAsia"/>
          <w:lang w:val="en-US"/>
        </w:rPr>
        <w:t xml:space="preserve"> </w:t>
      </w:r>
      <w:proofErr w:type="spellStart"/>
      <w:r w:rsidRPr="00D45885">
        <w:rPr>
          <w:rFonts w:eastAsiaTheme="minorEastAsia"/>
          <w:lang w:val="en-US"/>
        </w:rPr>
        <w:t>Kaynakları</w:t>
      </w:r>
      <w:proofErr w:type="spellEnd"/>
      <w:r w:rsidRPr="00D45885">
        <w:rPr>
          <w:rFonts w:eastAsiaTheme="minorEastAsia"/>
          <w:lang w:val="en-US"/>
        </w:rPr>
        <w:t xml:space="preserve"> </w:t>
      </w:r>
      <w:proofErr w:type="spellStart"/>
      <w:r w:rsidRPr="00D45885">
        <w:rPr>
          <w:rFonts w:eastAsiaTheme="minorEastAsia"/>
          <w:lang w:val="en-US"/>
        </w:rPr>
        <w:t>Dergisi</w:t>
      </w:r>
      <w:proofErr w:type="spellEnd"/>
      <w:r w:rsidRPr="00D45885">
        <w:rPr>
          <w:rFonts w:eastAsiaTheme="minorEastAsia"/>
          <w:lang w:val="en-US"/>
        </w:rPr>
        <w:t xml:space="preserve">, </w:t>
      </w:r>
      <w:proofErr w:type="spellStart"/>
      <w:r w:rsidRPr="00D45885">
        <w:rPr>
          <w:rFonts w:eastAsiaTheme="minorEastAsia"/>
          <w:lang w:val="en-US"/>
        </w:rPr>
        <w:t>Vol</w:t>
      </w:r>
      <w:proofErr w:type="spellEnd"/>
      <w:r w:rsidRPr="00D45885">
        <w:rPr>
          <w:rFonts w:eastAsiaTheme="minorEastAsia"/>
          <w:lang w:val="en-US"/>
        </w:rPr>
        <w:t>: 12, Num</w:t>
      </w:r>
      <w:proofErr w:type="gramStart"/>
      <w:r w:rsidRPr="00D45885">
        <w:rPr>
          <w:rFonts w:eastAsiaTheme="minorEastAsia"/>
          <w:lang w:val="en-US"/>
        </w:rPr>
        <w:t>:3</w:t>
      </w:r>
      <w:proofErr w:type="gramEnd"/>
      <w:r w:rsidRPr="00D45885">
        <w:rPr>
          <w:rFonts w:eastAsiaTheme="minorEastAsia"/>
          <w:lang w:val="en-US"/>
        </w:rPr>
        <w:t xml:space="preserve">, Page:7-26, ISSN: 1303-2860, </w:t>
      </w:r>
      <w:proofErr w:type="spellStart"/>
      <w:r w:rsidRPr="00D45885">
        <w:rPr>
          <w:rFonts w:eastAsiaTheme="minorEastAsia"/>
          <w:lang w:val="en-US"/>
        </w:rPr>
        <w:t>Temmuz</w:t>
      </w:r>
      <w:proofErr w:type="spellEnd"/>
      <w:r w:rsidRPr="00D45885">
        <w:rPr>
          <w:rFonts w:eastAsiaTheme="minorEastAsia"/>
          <w:lang w:val="en-US"/>
        </w:rPr>
        <w:t>, İstanbul.</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proofErr w:type="gramStart"/>
      <w:r w:rsidRPr="00D45885">
        <w:rPr>
          <w:rFonts w:eastAsiaTheme="minorEastAsia"/>
          <w:lang w:val="en-US"/>
        </w:rPr>
        <w:t>PARASIZ, İ, (2003).</w:t>
      </w:r>
      <w:proofErr w:type="gramEnd"/>
      <w:r w:rsidRPr="00D45885">
        <w:rPr>
          <w:rFonts w:eastAsiaTheme="minorEastAsia"/>
          <w:lang w:val="en-US"/>
        </w:rPr>
        <w:t xml:space="preserve"> </w:t>
      </w:r>
      <w:proofErr w:type="spellStart"/>
      <w:r w:rsidRPr="00D45885">
        <w:rPr>
          <w:rFonts w:eastAsiaTheme="minorEastAsia"/>
          <w:b/>
          <w:lang w:val="en-US"/>
        </w:rPr>
        <w:t>Ekonomik</w:t>
      </w:r>
      <w:proofErr w:type="spellEnd"/>
      <w:r w:rsidRPr="00D45885">
        <w:rPr>
          <w:rFonts w:eastAsiaTheme="minorEastAsia"/>
          <w:b/>
          <w:lang w:val="en-US"/>
        </w:rPr>
        <w:t xml:space="preserve"> </w:t>
      </w:r>
      <w:proofErr w:type="spellStart"/>
      <w:r w:rsidRPr="00D45885">
        <w:rPr>
          <w:rFonts w:eastAsiaTheme="minorEastAsia"/>
          <w:b/>
          <w:lang w:val="en-US"/>
        </w:rPr>
        <w:t>Büyüme</w:t>
      </w:r>
      <w:proofErr w:type="spellEnd"/>
      <w:r w:rsidRPr="00D45885">
        <w:rPr>
          <w:rFonts w:eastAsiaTheme="minorEastAsia"/>
          <w:b/>
          <w:lang w:val="en-US"/>
        </w:rPr>
        <w:t xml:space="preserve"> </w:t>
      </w:r>
      <w:proofErr w:type="spellStart"/>
      <w:r w:rsidRPr="00D45885">
        <w:rPr>
          <w:rFonts w:eastAsiaTheme="minorEastAsia"/>
          <w:b/>
          <w:lang w:val="en-US"/>
        </w:rPr>
        <w:t>Teorileri-Dinamik</w:t>
      </w:r>
      <w:proofErr w:type="spellEnd"/>
      <w:r w:rsidRPr="00D45885">
        <w:rPr>
          <w:rFonts w:eastAsiaTheme="minorEastAsia"/>
          <w:b/>
          <w:lang w:val="en-US"/>
        </w:rPr>
        <w:t xml:space="preserve"> </w:t>
      </w:r>
      <w:proofErr w:type="spellStart"/>
      <w:r w:rsidRPr="00D45885">
        <w:rPr>
          <w:rFonts w:eastAsiaTheme="minorEastAsia"/>
          <w:b/>
          <w:lang w:val="en-US"/>
        </w:rPr>
        <w:t>Makro</w:t>
      </w:r>
      <w:proofErr w:type="spellEnd"/>
      <w:r w:rsidRPr="00D45885">
        <w:rPr>
          <w:rFonts w:eastAsiaTheme="minorEastAsia"/>
          <w:b/>
          <w:lang w:val="en-US"/>
        </w:rPr>
        <w:t xml:space="preserve"> </w:t>
      </w:r>
      <w:proofErr w:type="spellStart"/>
      <w:r w:rsidRPr="00D45885">
        <w:rPr>
          <w:rFonts w:eastAsiaTheme="minorEastAsia"/>
          <w:b/>
          <w:lang w:val="en-US"/>
        </w:rPr>
        <w:t>Ekonomiye</w:t>
      </w:r>
      <w:proofErr w:type="spellEnd"/>
      <w:r w:rsidRPr="00D45885">
        <w:rPr>
          <w:rFonts w:eastAsiaTheme="minorEastAsia"/>
          <w:b/>
          <w:lang w:val="en-US"/>
        </w:rPr>
        <w:t xml:space="preserve"> </w:t>
      </w:r>
      <w:proofErr w:type="spellStart"/>
      <w:r w:rsidRPr="00D45885">
        <w:rPr>
          <w:rFonts w:eastAsiaTheme="minorEastAsia"/>
          <w:b/>
          <w:lang w:val="en-US"/>
        </w:rPr>
        <w:t>Geçiş</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r w:rsidRPr="00D45885">
        <w:rPr>
          <w:rFonts w:eastAsiaTheme="minorEastAsia"/>
          <w:lang w:val="en-US"/>
        </w:rPr>
        <w:t>Ezgi</w:t>
      </w:r>
      <w:proofErr w:type="spellEnd"/>
      <w:r w:rsidRPr="00D45885">
        <w:rPr>
          <w:rFonts w:eastAsiaTheme="minorEastAsia"/>
          <w:lang w:val="en-US"/>
        </w:rPr>
        <w:t xml:space="preserve"> </w:t>
      </w:r>
      <w:proofErr w:type="spellStart"/>
      <w:r w:rsidRPr="00D45885">
        <w:rPr>
          <w:rFonts w:eastAsiaTheme="minorEastAsia"/>
          <w:lang w:val="en-US"/>
        </w:rPr>
        <w:t>Kitabevi</w:t>
      </w:r>
      <w:proofErr w:type="spellEnd"/>
      <w:r w:rsidRPr="00D45885">
        <w:rPr>
          <w:rFonts w:eastAsiaTheme="minorEastAsia"/>
          <w:lang w:val="en-US"/>
        </w:rPr>
        <w:t xml:space="preserve"> </w:t>
      </w:r>
      <w:proofErr w:type="spellStart"/>
      <w:r w:rsidRPr="00D45885">
        <w:rPr>
          <w:rFonts w:eastAsiaTheme="minorEastAsia"/>
          <w:lang w:val="en-US"/>
        </w:rPr>
        <w:t>Yayınları</w:t>
      </w:r>
      <w:proofErr w:type="spellEnd"/>
      <w:r w:rsidRPr="00D45885">
        <w:rPr>
          <w:rFonts w:eastAsiaTheme="minorEastAsia"/>
          <w:lang w:val="en-US"/>
        </w:rPr>
        <w:t xml:space="preserve">, 2. </w:t>
      </w:r>
      <w:proofErr w:type="spellStart"/>
      <w:r w:rsidRPr="00D45885">
        <w:rPr>
          <w:rFonts w:eastAsiaTheme="minorEastAsia"/>
          <w:lang w:val="en-US"/>
        </w:rPr>
        <w:t>Baskı</w:t>
      </w:r>
      <w:proofErr w:type="spellEnd"/>
      <w:r w:rsidRPr="00D45885">
        <w:rPr>
          <w:rFonts w:eastAsiaTheme="minorEastAsia"/>
          <w:lang w:val="en-US"/>
        </w:rPr>
        <w:t>, Bursa.</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ROUBINI, N, (2012). </w:t>
      </w:r>
      <w:proofErr w:type="spellStart"/>
      <w:r w:rsidRPr="00D45885">
        <w:rPr>
          <w:rFonts w:eastAsiaTheme="minorEastAsia"/>
          <w:b/>
          <w:lang w:val="en-US"/>
        </w:rPr>
        <w:t>Kriz</w:t>
      </w:r>
      <w:proofErr w:type="spellEnd"/>
      <w:r w:rsidRPr="00D45885">
        <w:rPr>
          <w:rFonts w:eastAsiaTheme="minorEastAsia"/>
          <w:b/>
          <w:lang w:val="en-US"/>
        </w:rPr>
        <w:t xml:space="preserve"> </w:t>
      </w:r>
      <w:proofErr w:type="spellStart"/>
      <w:r w:rsidRPr="00D45885">
        <w:rPr>
          <w:rFonts w:eastAsiaTheme="minorEastAsia"/>
          <w:b/>
          <w:lang w:val="en-US"/>
        </w:rPr>
        <w:t>Ekonomisi-Dünya</w:t>
      </w:r>
      <w:proofErr w:type="spellEnd"/>
      <w:r w:rsidRPr="00D45885">
        <w:rPr>
          <w:rFonts w:eastAsiaTheme="minorEastAsia"/>
          <w:b/>
          <w:lang w:val="en-US"/>
        </w:rPr>
        <w:t xml:space="preserve"> </w:t>
      </w:r>
      <w:proofErr w:type="spellStart"/>
      <w:r w:rsidRPr="00D45885">
        <w:rPr>
          <w:rFonts w:eastAsiaTheme="minorEastAsia"/>
          <w:b/>
          <w:lang w:val="en-US"/>
        </w:rPr>
        <w:t>Ekonomisinin</w:t>
      </w:r>
      <w:proofErr w:type="spellEnd"/>
      <w:r w:rsidRPr="00D45885">
        <w:rPr>
          <w:rFonts w:eastAsiaTheme="minorEastAsia"/>
          <w:b/>
          <w:lang w:val="en-US"/>
        </w:rPr>
        <w:t xml:space="preserve"> </w:t>
      </w:r>
      <w:proofErr w:type="spellStart"/>
      <w:r w:rsidRPr="00D45885">
        <w:rPr>
          <w:rFonts w:eastAsiaTheme="minorEastAsia"/>
          <w:b/>
          <w:lang w:val="en-US"/>
        </w:rPr>
        <w:t>Çöküşü</w:t>
      </w:r>
      <w:proofErr w:type="spellEnd"/>
      <w:r w:rsidRPr="00D45885">
        <w:rPr>
          <w:rFonts w:eastAsiaTheme="minorEastAsia"/>
          <w:b/>
          <w:lang w:val="en-US"/>
        </w:rPr>
        <w:t xml:space="preserve"> </w:t>
      </w:r>
      <w:proofErr w:type="spellStart"/>
      <w:r w:rsidRPr="00D45885">
        <w:rPr>
          <w:rFonts w:eastAsiaTheme="minorEastAsia"/>
          <w:b/>
          <w:lang w:val="en-US"/>
        </w:rPr>
        <w:t>ve</w:t>
      </w:r>
      <w:proofErr w:type="spellEnd"/>
      <w:r w:rsidRPr="00D45885">
        <w:rPr>
          <w:rFonts w:eastAsiaTheme="minorEastAsia"/>
          <w:b/>
          <w:lang w:val="en-US"/>
        </w:rPr>
        <w:t xml:space="preserve"> </w:t>
      </w:r>
      <w:proofErr w:type="spellStart"/>
      <w:r w:rsidRPr="00D45885">
        <w:rPr>
          <w:rFonts w:eastAsiaTheme="minorEastAsia"/>
          <w:b/>
          <w:lang w:val="en-US"/>
        </w:rPr>
        <w:t>Geleceği</w:t>
      </w:r>
      <w:proofErr w:type="spellEnd"/>
      <w:r w:rsidRPr="00D45885">
        <w:rPr>
          <w:rFonts w:eastAsiaTheme="minorEastAsia"/>
          <w:b/>
          <w:lang w:val="en-US"/>
        </w:rPr>
        <w:t xml:space="preserve">, </w:t>
      </w:r>
      <w:proofErr w:type="spellStart"/>
      <w:r w:rsidRPr="00D45885">
        <w:rPr>
          <w:rFonts w:eastAsiaTheme="minorEastAsia"/>
          <w:lang w:val="en-US"/>
        </w:rPr>
        <w:t>Çev</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r w:rsidRPr="00D45885">
        <w:rPr>
          <w:rFonts w:eastAsiaTheme="minorEastAsia"/>
          <w:lang w:val="en-US"/>
        </w:rPr>
        <w:t>Işıl</w:t>
      </w:r>
      <w:proofErr w:type="spellEnd"/>
      <w:r w:rsidRPr="00D45885">
        <w:rPr>
          <w:rFonts w:eastAsiaTheme="minorEastAsia"/>
          <w:lang w:val="en-US"/>
        </w:rPr>
        <w:t xml:space="preserve"> </w:t>
      </w:r>
      <w:proofErr w:type="spellStart"/>
      <w:r w:rsidRPr="00D45885">
        <w:rPr>
          <w:rFonts w:eastAsiaTheme="minorEastAsia"/>
          <w:lang w:val="en-US"/>
        </w:rPr>
        <w:t>Tezcan</w:t>
      </w:r>
      <w:proofErr w:type="spellEnd"/>
      <w:r w:rsidRPr="00D45885">
        <w:rPr>
          <w:rFonts w:eastAsiaTheme="minorEastAsia"/>
          <w:lang w:val="en-US"/>
        </w:rPr>
        <w:t xml:space="preserve">, Pegasus </w:t>
      </w:r>
      <w:proofErr w:type="spellStart"/>
      <w:r w:rsidRPr="00D45885">
        <w:rPr>
          <w:rFonts w:eastAsiaTheme="minorEastAsia"/>
          <w:lang w:val="en-US"/>
        </w:rPr>
        <w:t>Yayınları</w:t>
      </w:r>
      <w:proofErr w:type="spellEnd"/>
      <w:r w:rsidRPr="00D45885">
        <w:rPr>
          <w:rFonts w:eastAsiaTheme="minorEastAsia"/>
          <w:lang w:val="en-US"/>
        </w:rPr>
        <w:t>, İstanbul.</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lastRenderedPageBreak/>
        <w:t xml:space="preserve">SOULE, G, ANTELL, G, (2001). </w:t>
      </w:r>
      <w:proofErr w:type="spellStart"/>
      <w:r w:rsidRPr="00D45885">
        <w:rPr>
          <w:rFonts w:eastAsiaTheme="minorEastAsia"/>
          <w:b/>
          <w:lang w:val="en-US"/>
        </w:rPr>
        <w:t>Herkes</w:t>
      </w:r>
      <w:proofErr w:type="spellEnd"/>
      <w:r w:rsidRPr="00D45885">
        <w:rPr>
          <w:rFonts w:eastAsiaTheme="minorEastAsia"/>
          <w:b/>
          <w:lang w:val="en-US"/>
        </w:rPr>
        <w:t xml:space="preserve"> </w:t>
      </w:r>
      <w:proofErr w:type="spellStart"/>
      <w:r w:rsidRPr="00D45885">
        <w:rPr>
          <w:rFonts w:eastAsiaTheme="minorEastAsia"/>
          <w:b/>
          <w:lang w:val="en-US"/>
        </w:rPr>
        <w:t>için</w:t>
      </w:r>
      <w:proofErr w:type="spellEnd"/>
      <w:r w:rsidRPr="00D45885">
        <w:rPr>
          <w:rFonts w:eastAsiaTheme="minorEastAsia"/>
          <w:b/>
          <w:lang w:val="en-US"/>
        </w:rPr>
        <w:t xml:space="preserve"> </w:t>
      </w:r>
      <w:proofErr w:type="spellStart"/>
      <w:r w:rsidRPr="00D45885">
        <w:rPr>
          <w:rFonts w:eastAsiaTheme="minorEastAsia"/>
          <w:b/>
          <w:lang w:val="en-US"/>
        </w:rPr>
        <w:t>Ekonomi</w:t>
      </w:r>
      <w:proofErr w:type="spellEnd"/>
      <w:r w:rsidRPr="00D45885">
        <w:rPr>
          <w:rFonts w:eastAsiaTheme="minorEastAsia"/>
          <w:lang w:val="en-US"/>
        </w:rPr>
        <w:t xml:space="preserve">, </w:t>
      </w:r>
      <w:proofErr w:type="spellStart"/>
      <w:r w:rsidRPr="00D45885">
        <w:rPr>
          <w:rFonts w:eastAsiaTheme="minorEastAsia"/>
          <w:lang w:val="en-US"/>
        </w:rPr>
        <w:t>Çev</w:t>
      </w:r>
      <w:proofErr w:type="spellEnd"/>
      <w:r w:rsidRPr="00D45885">
        <w:rPr>
          <w:rFonts w:eastAsiaTheme="minorEastAsia"/>
          <w:lang w:val="en-US"/>
        </w:rPr>
        <w:t xml:space="preserve">: </w:t>
      </w:r>
      <w:proofErr w:type="spellStart"/>
      <w:r w:rsidRPr="00D45885">
        <w:rPr>
          <w:rFonts w:eastAsiaTheme="minorEastAsia"/>
          <w:lang w:val="en-US"/>
        </w:rPr>
        <w:t>Nejat</w:t>
      </w:r>
      <w:proofErr w:type="spellEnd"/>
      <w:r w:rsidRPr="00D45885">
        <w:rPr>
          <w:rFonts w:eastAsiaTheme="minorEastAsia"/>
          <w:lang w:val="en-US"/>
        </w:rPr>
        <w:t xml:space="preserve"> </w:t>
      </w:r>
      <w:proofErr w:type="spellStart"/>
      <w:r w:rsidRPr="00D45885">
        <w:rPr>
          <w:rFonts w:eastAsiaTheme="minorEastAsia"/>
          <w:lang w:val="en-US"/>
        </w:rPr>
        <w:t>Muallimoğlu</w:t>
      </w:r>
      <w:proofErr w:type="spellEnd"/>
      <w:r w:rsidRPr="00D45885">
        <w:rPr>
          <w:rFonts w:eastAsiaTheme="minorEastAsia"/>
          <w:lang w:val="en-US"/>
        </w:rPr>
        <w:t xml:space="preserve">, </w:t>
      </w:r>
      <w:proofErr w:type="spellStart"/>
      <w:r w:rsidRPr="00D45885">
        <w:rPr>
          <w:rFonts w:eastAsiaTheme="minorEastAsia"/>
          <w:lang w:val="en-US"/>
        </w:rPr>
        <w:t>Avcıol</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proofErr w:type="gramStart"/>
      <w:r w:rsidRPr="00D45885">
        <w:rPr>
          <w:rFonts w:eastAsiaTheme="minorEastAsia"/>
          <w:lang w:val="en-US"/>
        </w:rPr>
        <w:t>Basım</w:t>
      </w:r>
      <w:proofErr w:type="spellEnd"/>
      <w:r w:rsidRPr="00D45885">
        <w:rPr>
          <w:rFonts w:eastAsiaTheme="minorEastAsia"/>
          <w:lang w:val="en-US"/>
        </w:rPr>
        <w:t>, 4.</w:t>
      </w:r>
      <w:proofErr w:type="gramEnd"/>
      <w:r w:rsidRPr="00D45885">
        <w:rPr>
          <w:rFonts w:eastAsiaTheme="minorEastAsia"/>
          <w:lang w:val="en-US"/>
        </w:rPr>
        <w:t xml:space="preserve"> </w:t>
      </w:r>
      <w:proofErr w:type="spellStart"/>
      <w:proofErr w:type="gramStart"/>
      <w:r w:rsidRPr="00D45885">
        <w:rPr>
          <w:rFonts w:eastAsiaTheme="minorEastAsia"/>
          <w:lang w:val="en-US"/>
        </w:rPr>
        <w:t>Baskı</w:t>
      </w:r>
      <w:proofErr w:type="spellEnd"/>
      <w:r w:rsidRPr="00D45885">
        <w:rPr>
          <w:rFonts w:eastAsiaTheme="minorEastAsia"/>
          <w:lang w:val="en-US"/>
        </w:rPr>
        <w:t>, İstanbul.</w:t>
      </w:r>
      <w:proofErr w:type="gramEnd"/>
      <w:r w:rsidRPr="00D45885">
        <w:rPr>
          <w:rFonts w:eastAsiaTheme="minorEastAsia"/>
          <w:lang w:val="en-US"/>
        </w:rPr>
        <w:t xml:space="preserve"> </w:t>
      </w:r>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SUSAM, N, BAKKAL, U, (2008)</w:t>
      </w:r>
      <w:proofErr w:type="gramStart"/>
      <w:r w:rsidRPr="00D45885">
        <w:rPr>
          <w:rFonts w:eastAsiaTheme="minorEastAsia"/>
          <w:lang w:val="en-US"/>
        </w:rPr>
        <w:t>.“</w:t>
      </w:r>
      <w:proofErr w:type="spellStart"/>
      <w:proofErr w:type="gramEnd"/>
      <w:r w:rsidRPr="00D45885">
        <w:rPr>
          <w:rFonts w:eastAsiaTheme="minorEastAsia"/>
          <w:lang w:val="en-US"/>
        </w:rPr>
        <w:t>Kriz</w:t>
      </w:r>
      <w:proofErr w:type="spellEnd"/>
      <w:r w:rsidRPr="00D45885">
        <w:rPr>
          <w:rFonts w:eastAsiaTheme="minorEastAsia"/>
          <w:lang w:val="en-US"/>
        </w:rPr>
        <w:t xml:space="preserve"> </w:t>
      </w:r>
      <w:proofErr w:type="spellStart"/>
      <w:r w:rsidRPr="00D45885">
        <w:rPr>
          <w:rFonts w:eastAsiaTheme="minorEastAsia"/>
          <w:lang w:val="en-US"/>
        </w:rPr>
        <w:t>Süreci</w:t>
      </w:r>
      <w:proofErr w:type="spellEnd"/>
      <w:r w:rsidRPr="00D45885">
        <w:rPr>
          <w:rFonts w:eastAsiaTheme="minorEastAsia"/>
          <w:lang w:val="en-US"/>
        </w:rPr>
        <w:t xml:space="preserve"> </w:t>
      </w:r>
      <w:proofErr w:type="spellStart"/>
      <w:r w:rsidRPr="00D45885">
        <w:rPr>
          <w:rFonts w:eastAsiaTheme="minorEastAsia"/>
          <w:lang w:val="en-US"/>
        </w:rPr>
        <w:t>Makro</w:t>
      </w:r>
      <w:proofErr w:type="spellEnd"/>
      <w:r w:rsidRPr="00D45885">
        <w:rPr>
          <w:rFonts w:eastAsiaTheme="minorEastAsia"/>
          <w:lang w:val="en-US"/>
        </w:rPr>
        <w:t xml:space="preserve"> </w:t>
      </w:r>
      <w:proofErr w:type="spellStart"/>
      <w:r w:rsidRPr="00D45885">
        <w:rPr>
          <w:rFonts w:eastAsiaTheme="minorEastAsia"/>
          <w:lang w:val="en-US"/>
        </w:rPr>
        <w:t>Değişkenleri</w:t>
      </w:r>
      <w:proofErr w:type="spellEnd"/>
      <w:r w:rsidRPr="00D45885">
        <w:rPr>
          <w:rFonts w:eastAsiaTheme="minorEastAsia"/>
          <w:lang w:val="en-US"/>
        </w:rPr>
        <w:t xml:space="preserve"> </w:t>
      </w:r>
      <w:proofErr w:type="spellStart"/>
      <w:r w:rsidRPr="00D45885">
        <w:rPr>
          <w:rFonts w:eastAsiaTheme="minorEastAsia"/>
          <w:lang w:val="en-US"/>
        </w:rPr>
        <w:t>ve</w:t>
      </w:r>
      <w:proofErr w:type="spellEnd"/>
      <w:r w:rsidRPr="00D45885">
        <w:rPr>
          <w:rFonts w:eastAsiaTheme="minorEastAsia"/>
          <w:lang w:val="en-US"/>
        </w:rPr>
        <w:t xml:space="preserve"> 2009 </w:t>
      </w:r>
      <w:proofErr w:type="spellStart"/>
      <w:r w:rsidRPr="00D45885">
        <w:rPr>
          <w:rFonts w:eastAsiaTheme="minorEastAsia"/>
          <w:lang w:val="en-US"/>
        </w:rPr>
        <w:t>Bütçe</w:t>
      </w:r>
      <w:proofErr w:type="spellEnd"/>
      <w:r w:rsidRPr="00D45885">
        <w:rPr>
          <w:rFonts w:eastAsiaTheme="minorEastAsia"/>
          <w:lang w:val="en-US"/>
        </w:rPr>
        <w:t xml:space="preserve"> </w:t>
      </w:r>
    </w:p>
    <w:p w:rsidR="00D45885" w:rsidRDefault="00D45885" w:rsidP="00D45885">
      <w:pPr>
        <w:jc w:val="both"/>
        <w:rPr>
          <w:rFonts w:eastAsiaTheme="minorEastAsia"/>
          <w:lang w:val="en-US"/>
        </w:rPr>
      </w:pPr>
      <w:proofErr w:type="spellStart"/>
      <w:r w:rsidRPr="00D45885">
        <w:rPr>
          <w:rFonts w:eastAsiaTheme="minorEastAsia"/>
          <w:lang w:val="en-US"/>
        </w:rPr>
        <w:t>Büyüklüklerini</w:t>
      </w:r>
      <w:proofErr w:type="spellEnd"/>
      <w:r w:rsidRPr="00D45885">
        <w:rPr>
          <w:rFonts w:eastAsiaTheme="minorEastAsia"/>
          <w:lang w:val="en-US"/>
        </w:rPr>
        <w:t xml:space="preserve"> </w:t>
      </w:r>
      <w:proofErr w:type="spellStart"/>
      <w:r w:rsidRPr="00D45885">
        <w:rPr>
          <w:rFonts w:eastAsiaTheme="minorEastAsia"/>
          <w:lang w:val="en-US"/>
        </w:rPr>
        <w:t>Nasıl</w:t>
      </w:r>
      <w:proofErr w:type="spellEnd"/>
      <w:r w:rsidRPr="00D45885">
        <w:rPr>
          <w:rFonts w:eastAsiaTheme="minorEastAsia"/>
          <w:lang w:val="en-US"/>
        </w:rPr>
        <w:t xml:space="preserve"> </w:t>
      </w:r>
      <w:proofErr w:type="spellStart"/>
      <w:r w:rsidRPr="00D45885">
        <w:rPr>
          <w:rFonts w:eastAsiaTheme="minorEastAsia"/>
          <w:lang w:val="en-US"/>
        </w:rPr>
        <w:t>Etkileyecek</w:t>
      </w:r>
      <w:proofErr w:type="spellEnd"/>
      <w:r w:rsidRPr="00D45885">
        <w:rPr>
          <w:rFonts w:eastAsiaTheme="minorEastAsia"/>
          <w:lang w:val="en-US"/>
        </w:rPr>
        <w:t>?</w:t>
      </w:r>
      <w:proofErr w:type="gramStart"/>
      <w:r w:rsidRPr="00D45885">
        <w:rPr>
          <w:rFonts w:eastAsiaTheme="minorEastAsia"/>
          <w:lang w:val="en-US"/>
        </w:rPr>
        <w:t>”,</w:t>
      </w:r>
      <w:proofErr w:type="gramEnd"/>
      <w:r w:rsidRPr="00D45885">
        <w:rPr>
          <w:rFonts w:eastAsiaTheme="minorEastAsia"/>
          <w:lang w:val="en-US"/>
        </w:rPr>
        <w:t xml:space="preserve"> </w:t>
      </w:r>
      <w:proofErr w:type="spellStart"/>
      <w:r w:rsidRPr="00D45885">
        <w:rPr>
          <w:rFonts w:eastAsiaTheme="minorEastAsia"/>
          <w:lang w:val="en-US"/>
        </w:rPr>
        <w:t>Maliye</w:t>
      </w:r>
      <w:proofErr w:type="spellEnd"/>
      <w:r w:rsidRPr="00D45885">
        <w:rPr>
          <w:rFonts w:eastAsiaTheme="minorEastAsia"/>
          <w:lang w:val="en-US"/>
        </w:rPr>
        <w:t xml:space="preserve"> </w:t>
      </w:r>
      <w:proofErr w:type="spellStart"/>
      <w:r w:rsidRPr="00D45885">
        <w:rPr>
          <w:rFonts w:eastAsiaTheme="minorEastAsia"/>
          <w:lang w:val="en-US"/>
        </w:rPr>
        <w:t>Dergisi</w:t>
      </w:r>
      <w:proofErr w:type="spellEnd"/>
      <w:r w:rsidRPr="00D45885">
        <w:rPr>
          <w:rFonts w:eastAsiaTheme="minorEastAsia"/>
          <w:lang w:val="en-US"/>
        </w:rPr>
        <w:t xml:space="preserve">, Vol:155, Page: 72-88, </w:t>
      </w:r>
      <w:proofErr w:type="spellStart"/>
      <w:r w:rsidRPr="00D45885">
        <w:rPr>
          <w:rFonts w:eastAsiaTheme="minorEastAsia"/>
          <w:lang w:val="en-US"/>
        </w:rPr>
        <w:t>Temmuz-Aralık</w:t>
      </w:r>
      <w:proofErr w:type="spellEnd"/>
      <w:r w:rsidRPr="00D45885">
        <w:rPr>
          <w:rFonts w:eastAsiaTheme="minorEastAsia"/>
          <w:lang w:val="en-US"/>
        </w:rPr>
        <w:t>, İstanbul.</w:t>
      </w:r>
    </w:p>
    <w:p w:rsidR="00D45885" w:rsidRPr="00D45885" w:rsidRDefault="00D45885" w:rsidP="00D45885">
      <w:pPr>
        <w:jc w:val="both"/>
        <w:rPr>
          <w:rFonts w:eastAsiaTheme="minorEastAsia"/>
          <w:lang w:val="en-US"/>
        </w:rPr>
      </w:pPr>
    </w:p>
    <w:p w:rsidR="00D45885" w:rsidRDefault="00D45885" w:rsidP="00D45885">
      <w:pPr>
        <w:jc w:val="both"/>
        <w:rPr>
          <w:rFonts w:eastAsiaTheme="minorEastAsia"/>
          <w:snapToGrid w:val="0"/>
          <w:lang w:val="en-US"/>
        </w:rPr>
      </w:pPr>
      <w:proofErr w:type="gramStart"/>
      <w:r w:rsidRPr="00D45885">
        <w:rPr>
          <w:rFonts w:eastAsiaTheme="minorEastAsia"/>
          <w:snapToGrid w:val="0"/>
          <w:lang w:val="en-US"/>
        </w:rPr>
        <w:t xml:space="preserve">User, </w:t>
      </w:r>
      <w:proofErr w:type="spellStart"/>
      <w:r w:rsidRPr="00D45885">
        <w:rPr>
          <w:rFonts w:eastAsiaTheme="minorEastAsia"/>
          <w:snapToGrid w:val="0"/>
          <w:lang w:val="en-US"/>
        </w:rPr>
        <w:t>Erol</w:t>
      </w:r>
      <w:proofErr w:type="spellEnd"/>
      <w:r w:rsidRPr="00D45885">
        <w:rPr>
          <w:rFonts w:eastAsiaTheme="minorEastAsia"/>
          <w:snapToGrid w:val="0"/>
          <w:lang w:val="en-US"/>
        </w:rPr>
        <w:t xml:space="preserve"> (2009).</w:t>
      </w:r>
      <w:proofErr w:type="gramEnd"/>
      <w:r w:rsidRPr="00D45885">
        <w:rPr>
          <w:rFonts w:eastAsiaTheme="minorEastAsia"/>
          <w:snapToGrid w:val="0"/>
          <w:lang w:val="en-US"/>
        </w:rPr>
        <w:t xml:space="preserve"> </w:t>
      </w:r>
      <w:proofErr w:type="spellStart"/>
      <w:r w:rsidRPr="00D45885">
        <w:rPr>
          <w:rFonts w:eastAsiaTheme="minorEastAsia"/>
          <w:b/>
          <w:snapToGrid w:val="0"/>
          <w:lang w:val="en-US"/>
        </w:rPr>
        <w:t>Etik</w:t>
      </w:r>
      <w:proofErr w:type="spellEnd"/>
      <w:r w:rsidRPr="00D45885">
        <w:rPr>
          <w:rFonts w:eastAsiaTheme="minorEastAsia"/>
          <w:b/>
          <w:snapToGrid w:val="0"/>
          <w:lang w:val="en-US"/>
        </w:rPr>
        <w:t xml:space="preserve"> </w:t>
      </w:r>
      <w:proofErr w:type="spellStart"/>
      <w:r w:rsidRPr="00D45885">
        <w:rPr>
          <w:rFonts w:eastAsiaTheme="minorEastAsia"/>
          <w:b/>
          <w:snapToGrid w:val="0"/>
          <w:lang w:val="en-US"/>
        </w:rPr>
        <w:t>Ekonomi</w:t>
      </w:r>
      <w:proofErr w:type="spellEnd"/>
      <w:r w:rsidRPr="00D45885">
        <w:rPr>
          <w:rFonts w:eastAsiaTheme="minorEastAsia"/>
          <w:snapToGrid w:val="0"/>
          <w:lang w:val="en-US"/>
        </w:rPr>
        <w:t xml:space="preserve"> (1. </w:t>
      </w:r>
      <w:proofErr w:type="spellStart"/>
      <w:r w:rsidRPr="00D45885">
        <w:rPr>
          <w:rFonts w:eastAsiaTheme="minorEastAsia"/>
          <w:snapToGrid w:val="0"/>
          <w:lang w:val="en-US"/>
        </w:rPr>
        <w:t>Baskı</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Cinius</w:t>
      </w:r>
      <w:proofErr w:type="spellEnd"/>
      <w:r w:rsidRPr="00D45885">
        <w:rPr>
          <w:rFonts w:eastAsiaTheme="minorEastAsia"/>
          <w:snapToGrid w:val="0"/>
          <w:lang w:val="en-US"/>
        </w:rPr>
        <w:t xml:space="preserve"> </w:t>
      </w:r>
      <w:proofErr w:type="spellStart"/>
      <w:r w:rsidRPr="00D45885">
        <w:rPr>
          <w:rFonts w:eastAsiaTheme="minorEastAsia"/>
          <w:snapToGrid w:val="0"/>
          <w:lang w:val="en-US"/>
        </w:rPr>
        <w:t>Yayınları</w:t>
      </w:r>
      <w:proofErr w:type="spellEnd"/>
      <w:r w:rsidRPr="00D45885">
        <w:rPr>
          <w:rFonts w:eastAsiaTheme="minorEastAsia"/>
          <w:snapToGrid w:val="0"/>
          <w:lang w:val="en-US"/>
        </w:rPr>
        <w:t>, İstanbul.</w:t>
      </w:r>
    </w:p>
    <w:p w:rsidR="00D45885" w:rsidRPr="00D45885" w:rsidRDefault="00D45885" w:rsidP="00D45885">
      <w:pPr>
        <w:jc w:val="both"/>
        <w:rPr>
          <w:rFonts w:eastAsiaTheme="minorEastAsia"/>
          <w:snapToGrid w:val="0"/>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ÜLGENER, S, (1980). </w:t>
      </w:r>
      <w:proofErr w:type="spellStart"/>
      <w:r w:rsidRPr="00D45885">
        <w:rPr>
          <w:rFonts w:eastAsiaTheme="minorEastAsia"/>
          <w:b/>
          <w:lang w:val="en-US"/>
        </w:rPr>
        <w:t>Milli</w:t>
      </w:r>
      <w:proofErr w:type="spellEnd"/>
      <w:r w:rsidRPr="00D45885">
        <w:rPr>
          <w:rFonts w:eastAsiaTheme="minorEastAsia"/>
          <w:b/>
          <w:lang w:val="en-US"/>
        </w:rPr>
        <w:t xml:space="preserve"> </w:t>
      </w:r>
      <w:proofErr w:type="spellStart"/>
      <w:r w:rsidRPr="00D45885">
        <w:rPr>
          <w:rFonts w:eastAsiaTheme="minorEastAsia"/>
          <w:b/>
          <w:lang w:val="en-US"/>
        </w:rPr>
        <w:t>Gelir</w:t>
      </w:r>
      <w:proofErr w:type="spellEnd"/>
      <w:r w:rsidRPr="00D45885">
        <w:rPr>
          <w:rFonts w:eastAsiaTheme="minorEastAsia"/>
          <w:b/>
          <w:lang w:val="en-US"/>
        </w:rPr>
        <w:t xml:space="preserve">, </w:t>
      </w:r>
      <w:proofErr w:type="spellStart"/>
      <w:r w:rsidRPr="00D45885">
        <w:rPr>
          <w:rFonts w:eastAsiaTheme="minorEastAsia"/>
          <w:b/>
          <w:lang w:val="en-US"/>
        </w:rPr>
        <w:t>İstihdam</w:t>
      </w:r>
      <w:proofErr w:type="spellEnd"/>
      <w:r w:rsidRPr="00D45885">
        <w:rPr>
          <w:rFonts w:eastAsiaTheme="minorEastAsia"/>
          <w:b/>
          <w:lang w:val="en-US"/>
        </w:rPr>
        <w:t xml:space="preserve"> </w:t>
      </w:r>
      <w:proofErr w:type="spellStart"/>
      <w:r w:rsidRPr="00D45885">
        <w:rPr>
          <w:rFonts w:eastAsiaTheme="minorEastAsia"/>
          <w:b/>
          <w:lang w:val="en-US"/>
        </w:rPr>
        <w:t>ve</w:t>
      </w:r>
      <w:proofErr w:type="spellEnd"/>
      <w:r w:rsidRPr="00D45885">
        <w:rPr>
          <w:rFonts w:eastAsiaTheme="minorEastAsia"/>
          <w:b/>
          <w:lang w:val="en-US"/>
        </w:rPr>
        <w:t xml:space="preserve"> </w:t>
      </w:r>
      <w:proofErr w:type="spellStart"/>
      <w:r w:rsidRPr="00D45885">
        <w:rPr>
          <w:rFonts w:eastAsiaTheme="minorEastAsia"/>
          <w:b/>
          <w:lang w:val="en-US"/>
        </w:rPr>
        <w:t>İktisadi</w:t>
      </w:r>
      <w:proofErr w:type="spellEnd"/>
      <w:r w:rsidRPr="00D45885">
        <w:rPr>
          <w:rFonts w:eastAsiaTheme="minorEastAsia"/>
          <w:b/>
          <w:lang w:val="en-US"/>
        </w:rPr>
        <w:t xml:space="preserve"> </w:t>
      </w:r>
      <w:proofErr w:type="spellStart"/>
      <w:r w:rsidRPr="00D45885">
        <w:rPr>
          <w:rFonts w:eastAsiaTheme="minorEastAsia"/>
          <w:b/>
          <w:lang w:val="en-US"/>
        </w:rPr>
        <w:t>Büyüme</w:t>
      </w:r>
      <w:proofErr w:type="spellEnd"/>
      <w:r w:rsidRPr="00D45885">
        <w:rPr>
          <w:rFonts w:eastAsiaTheme="minorEastAsia"/>
          <w:lang w:val="en-US"/>
        </w:rPr>
        <w:t xml:space="preserve">, Der </w:t>
      </w:r>
      <w:proofErr w:type="spellStart"/>
      <w:r w:rsidRPr="00D45885">
        <w:rPr>
          <w:rFonts w:eastAsiaTheme="minorEastAsia"/>
          <w:lang w:val="en-US"/>
        </w:rPr>
        <w:t>Yayınevi</w:t>
      </w:r>
      <w:proofErr w:type="spellEnd"/>
      <w:r w:rsidRPr="00D45885">
        <w:rPr>
          <w:rFonts w:eastAsiaTheme="minorEastAsia"/>
          <w:lang w:val="en-US"/>
        </w:rPr>
        <w:t xml:space="preserve">, 6. </w:t>
      </w:r>
    </w:p>
    <w:p w:rsidR="00D45885" w:rsidRDefault="00D45885" w:rsidP="00D45885">
      <w:pPr>
        <w:jc w:val="both"/>
        <w:rPr>
          <w:rFonts w:eastAsiaTheme="minorEastAsia"/>
          <w:lang w:val="en-US"/>
        </w:rPr>
      </w:pPr>
      <w:proofErr w:type="spellStart"/>
      <w:proofErr w:type="gramStart"/>
      <w:r w:rsidRPr="00D45885">
        <w:rPr>
          <w:rFonts w:eastAsiaTheme="minorEastAsia"/>
          <w:lang w:val="en-US"/>
        </w:rPr>
        <w:t>Baskı</w:t>
      </w:r>
      <w:proofErr w:type="spellEnd"/>
      <w:r w:rsidRPr="00D45885">
        <w:rPr>
          <w:rFonts w:eastAsiaTheme="minorEastAsia"/>
          <w:lang w:val="en-US"/>
        </w:rPr>
        <w:t>, İstanbul.</w:t>
      </w:r>
      <w:proofErr w:type="gramEnd"/>
    </w:p>
    <w:p w:rsidR="00D45885" w:rsidRPr="00D45885" w:rsidRDefault="00D45885" w:rsidP="00D45885">
      <w:pPr>
        <w:jc w:val="both"/>
        <w:rPr>
          <w:rFonts w:eastAsiaTheme="minorEastAsia"/>
          <w:lang w:val="en-US"/>
        </w:rPr>
      </w:pPr>
    </w:p>
    <w:p w:rsidR="00D45885" w:rsidRPr="00D45885" w:rsidRDefault="00D45885" w:rsidP="00D45885">
      <w:pPr>
        <w:jc w:val="both"/>
        <w:rPr>
          <w:rFonts w:eastAsiaTheme="minorEastAsia"/>
          <w:lang w:val="en-US"/>
        </w:rPr>
      </w:pPr>
      <w:r w:rsidRPr="00D45885">
        <w:rPr>
          <w:rFonts w:eastAsiaTheme="minorEastAsia"/>
          <w:lang w:val="en-US"/>
        </w:rPr>
        <w:t xml:space="preserve">YILMAZ, Ö, AKINCI, M, (2012). </w:t>
      </w:r>
      <w:proofErr w:type="spellStart"/>
      <w:r w:rsidRPr="00D45885">
        <w:rPr>
          <w:rFonts w:eastAsiaTheme="minorEastAsia"/>
          <w:b/>
          <w:lang w:val="en-US"/>
        </w:rPr>
        <w:t>İktisadi</w:t>
      </w:r>
      <w:proofErr w:type="spellEnd"/>
      <w:r w:rsidRPr="00D45885">
        <w:rPr>
          <w:rFonts w:eastAsiaTheme="minorEastAsia"/>
          <w:b/>
          <w:lang w:val="en-US"/>
        </w:rPr>
        <w:t xml:space="preserve"> </w:t>
      </w:r>
      <w:proofErr w:type="spellStart"/>
      <w:r w:rsidRPr="00D45885">
        <w:rPr>
          <w:rFonts w:eastAsiaTheme="minorEastAsia"/>
          <w:b/>
          <w:lang w:val="en-US"/>
        </w:rPr>
        <w:t>Büyüme</w:t>
      </w:r>
      <w:proofErr w:type="spellEnd"/>
      <w:r w:rsidRPr="00D45885">
        <w:rPr>
          <w:rFonts w:eastAsiaTheme="minorEastAsia"/>
          <w:b/>
          <w:lang w:val="en-US"/>
        </w:rPr>
        <w:t xml:space="preserve"> </w:t>
      </w:r>
      <w:proofErr w:type="spellStart"/>
      <w:r w:rsidRPr="00D45885">
        <w:rPr>
          <w:rFonts w:eastAsiaTheme="minorEastAsia"/>
          <w:b/>
          <w:lang w:val="en-US"/>
        </w:rPr>
        <w:t>ve</w:t>
      </w:r>
      <w:proofErr w:type="spellEnd"/>
      <w:r w:rsidRPr="00D45885">
        <w:rPr>
          <w:rFonts w:eastAsiaTheme="minorEastAsia"/>
          <w:b/>
          <w:lang w:val="en-US"/>
        </w:rPr>
        <w:t xml:space="preserve"> </w:t>
      </w:r>
      <w:proofErr w:type="spellStart"/>
      <w:r w:rsidRPr="00D45885">
        <w:rPr>
          <w:rFonts w:eastAsiaTheme="minorEastAsia"/>
          <w:b/>
          <w:lang w:val="en-US"/>
        </w:rPr>
        <w:t>Makroekonomik</w:t>
      </w:r>
      <w:proofErr w:type="spellEnd"/>
      <w:r w:rsidRPr="00D45885">
        <w:rPr>
          <w:rFonts w:eastAsiaTheme="minorEastAsia"/>
          <w:b/>
          <w:lang w:val="en-US"/>
        </w:rPr>
        <w:t xml:space="preserve"> </w:t>
      </w:r>
      <w:proofErr w:type="spellStart"/>
      <w:r w:rsidRPr="00D45885">
        <w:rPr>
          <w:rFonts w:eastAsiaTheme="minorEastAsia"/>
          <w:b/>
          <w:lang w:val="en-US"/>
        </w:rPr>
        <w:t>Belirleyicileri</w:t>
      </w:r>
      <w:proofErr w:type="spellEnd"/>
      <w:r w:rsidRPr="00D45885">
        <w:rPr>
          <w:rFonts w:eastAsiaTheme="minorEastAsia"/>
          <w:lang w:val="en-US"/>
        </w:rPr>
        <w:t xml:space="preserve">, </w:t>
      </w:r>
    </w:p>
    <w:p w:rsidR="00D45885" w:rsidRPr="00D45885" w:rsidRDefault="00D45885" w:rsidP="00D45885">
      <w:pPr>
        <w:jc w:val="both"/>
        <w:rPr>
          <w:rFonts w:eastAsiaTheme="minorEastAsia"/>
          <w:lang w:val="en-US"/>
        </w:rPr>
      </w:pPr>
      <w:r w:rsidRPr="00D45885">
        <w:rPr>
          <w:rFonts w:eastAsiaTheme="minorEastAsia"/>
          <w:lang w:val="en-US"/>
        </w:rPr>
        <w:t xml:space="preserve">Nobel </w:t>
      </w:r>
      <w:proofErr w:type="spellStart"/>
      <w:r w:rsidRPr="00D45885">
        <w:rPr>
          <w:rFonts w:eastAsiaTheme="minorEastAsia"/>
          <w:lang w:val="en-US"/>
        </w:rPr>
        <w:t>Yayınları</w:t>
      </w:r>
      <w:proofErr w:type="spellEnd"/>
      <w:r w:rsidRPr="00D45885">
        <w:rPr>
          <w:rFonts w:eastAsiaTheme="minorEastAsia"/>
          <w:lang w:val="en-US"/>
        </w:rPr>
        <w:t>, Ankara.</w:t>
      </w:r>
    </w:p>
    <w:p w:rsidR="00D45885" w:rsidRPr="00D45885" w:rsidRDefault="00D45885" w:rsidP="00D45885">
      <w:pPr>
        <w:jc w:val="both"/>
        <w:rPr>
          <w:rFonts w:eastAsiaTheme="minorEastAsia"/>
          <w:lang w:val="en-US"/>
        </w:rPr>
      </w:pPr>
    </w:p>
    <w:p w:rsidR="00D45885" w:rsidRPr="00D45885" w:rsidRDefault="003632F6" w:rsidP="00D45885">
      <w:pPr>
        <w:jc w:val="both"/>
        <w:rPr>
          <w:rFonts w:eastAsiaTheme="minorEastAsia"/>
          <w:lang w:val="en-US"/>
        </w:rPr>
      </w:pPr>
      <w:hyperlink r:id="rId10" w:history="1">
        <w:r w:rsidR="00D45885" w:rsidRPr="00D45885">
          <w:rPr>
            <w:rFonts w:eastAsiaTheme="minorEastAsia"/>
            <w:lang w:val="en-US"/>
          </w:rPr>
          <w:t>www.imf.org</w:t>
        </w:r>
      </w:hyperlink>
      <w:r w:rsidR="00D45885" w:rsidRPr="00D45885">
        <w:rPr>
          <w:rFonts w:eastAsiaTheme="minorEastAsia"/>
        </w:rPr>
        <w:t>,</w:t>
      </w:r>
      <w:r w:rsidR="00D45885" w:rsidRPr="00D45885">
        <w:rPr>
          <w:rFonts w:eastAsiaTheme="minorEastAsia"/>
          <w:lang w:val="en-US"/>
        </w:rPr>
        <w:t xml:space="preserve"> World Economic Outlook Report, October 2012   </w:t>
      </w:r>
    </w:p>
    <w:p w:rsidR="00D45885" w:rsidRPr="00D45885" w:rsidRDefault="003632F6" w:rsidP="00D45885">
      <w:pPr>
        <w:jc w:val="both"/>
        <w:rPr>
          <w:rFonts w:eastAsiaTheme="minorEastAsia"/>
          <w:lang w:val="en-US"/>
        </w:rPr>
      </w:pPr>
      <w:hyperlink r:id="rId11" w:history="1">
        <w:r w:rsidR="00D45885" w:rsidRPr="00D45885">
          <w:rPr>
            <w:rFonts w:eastAsiaTheme="minorEastAsia"/>
          </w:rPr>
          <w:t>www.tuik.gov.tr/PreHaberBultenleri.do?id=13471</w:t>
        </w:r>
      </w:hyperlink>
    </w:p>
    <w:p w:rsidR="005C4FF0" w:rsidRPr="00D45885" w:rsidRDefault="005C4FF0" w:rsidP="00D45885">
      <w:pPr>
        <w:ind w:left="709" w:hanging="709"/>
        <w:jc w:val="both"/>
        <w:rPr>
          <w:noProof/>
          <w:lang w:val="en-US"/>
        </w:rPr>
      </w:pPr>
    </w:p>
    <w:sectPr w:rsidR="005C4FF0" w:rsidRPr="00D45885" w:rsidSect="00F36C7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454" w:footer="454" w:gutter="0"/>
      <w:pgNumType w:start="1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F6" w:rsidRDefault="003632F6" w:rsidP="00446838">
      <w:r>
        <w:separator/>
      </w:r>
    </w:p>
  </w:endnote>
  <w:endnote w:type="continuationSeparator" w:id="0">
    <w:p w:rsidR="003632F6" w:rsidRDefault="003632F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73" w:rsidRDefault="00F36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4" w:name="_GoBack" w:displacedByCustomXml="prev"/>
      <w:bookmarkEnd w:id="4" w:displacedByCustomXml="prev"/>
      <w:p w:rsidR="00AA63F6" w:rsidRDefault="00E95148">
        <w:pPr>
          <w:pStyle w:val="Footer"/>
          <w:jc w:val="center"/>
        </w:pPr>
        <w:r>
          <w:rPr>
            <w:noProof/>
            <w:lang w:val="en-US" w:eastAsia="en-US"/>
          </w:rPr>
          <mc:AlternateContent>
            <mc:Choice Requires="wps">
              <w:drawing>
                <wp:inline distT="0" distB="0" distL="0" distR="0" wp14:anchorId="5E07AB91" wp14:editId="674DC2CC">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F36C73">
          <w:rPr>
            <w:noProof/>
          </w:rPr>
          <w:t>101</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73" w:rsidRDefault="00F3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F6" w:rsidRDefault="003632F6" w:rsidP="00446838">
      <w:r>
        <w:separator/>
      </w:r>
    </w:p>
  </w:footnote>
  <w:footnote w:type="continuationSeparator" w:id="0">
    <w:p w:rsidR="003632F6" w:rsidRDefault="003632F6"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73" w:rsidRDefault="00F36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73" w:rsidRDefault="00F3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6F5"/>
    <w:multiLevelType w:val="hybridMultilevel"/>
    <w:tmpl w:val="09B4B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632F6"/>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B2D43"/>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B04F2"/>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45885"/>
    <w:rsid w:val="00D75E58"/>
    <w:rsid w:val="00D76E5E"/>
    <w:rsid w:val="00DA014E"/>
    <w:rsid w:val="00DC0765"/>
    <w:rsid w:val="00DC4BDD"/>
    <w:rsid w:val="00E13C86"/>
    <w:rsid w:val="00E368BA"/>
    <w:rsid w:val="00E53C78"/>
    <w:rsid w:val="00E916D0"/>
    <w:rsid w:val="00E941B4"/>
    <w:rsid w:val="00E95148"/>
    <w:rsid w:val="00EE1A90"/>
    <w:rsid w:val="00F14C0C"/>
    <w:rsid w:val="00F269BA"/>
    <w:rsid w:val="00F32252"/>
    <w:rsid w:val="00F36C73"/>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D4588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D45885"/>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e.afsar@karatay.edu.t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ik.gov.tr/PreHaberBultenleri.do?id=134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ik.gov.tr/PreHaberBultenleri.do?id=1347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2851</Words>
  <Characters>16254</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5</cp:revision>
  <dcterms:created xsi:type="dcterms:W3CDTF">2013-06-24T20:57:00Z</dcterms:created>
  <dcterms:modified xsi:type="dcterms:W3CDTF">2013-06-27T00:36:00Z</dcterms:modified>
</cp:coreProperties>
</file>