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71151F" w:rsidRDefault="004C77A0" w:rsidP="00E828E8">
      <w:pPr>
        <w:pStyle w:val="NoSpacing"/>
        <w:jc w:val="center"/>
        <w:rPr>
          <w:rFonts w:ascii="Adobe Garamond Pro" w:eastAsiaTheme="minorHAnsi" w:hAnsi="Adobe Garamond Pro" w:cstheme="minorBidi"/>
          <w:b/>
          <w:sz w:val="28"/>
          <w:szCs w:val="28"/>
        </w:rPr>
      </w:pPr>
      <w:r w:rsidRPr="004C77A0">
        <w:rPr>
          <w:rFonts w:ascii="Adobe Garamond Pro" w:eastAsiaTheme="minorHAnsi" w:hAnsi="Adobe Garamond Pro" w:cstheme="minorBidi"/>
          <w:b/>
          <w:sz w:val="28"/>
          <w:szCs w:val="28"/>
        </w:rPr>
        <w:t xml:space="preserve">Aspekti vanjske politike </w:t>
      </w:r>
      <w:r>
        <w:rPr>
          <w:rFonts w:ascii="Adobe Garamond Pro" w:eastAsiaTheme="minorHAnsi" w:hAnsi="Adobe Garamond Pro" w:cstheme="minorBidi"/>
          <w:b/>
          <w:sz w:val="28"/>
          <w:szCs w:val="28"/>
        </w:rPr>
        <w:t>E</w:t>
      </w:r>
      <w:r w:rsidRPr="004C77A0">
        <w:rPr>
          <w:rFonts w:ascii="Adobe Garamond Pro" w:eastAsiaTheme="minorHAnsi" w:hAnsi="Adobe Garamond Pro" w:cstheme="minorBidi"/>
          <w:b/>
          <w:sz w:val="28"/>
          <w:szCs w:val="28"/>
        </w:rPr>
        <w:t xml:space="preserve">vropske unije u </w:t>
      </w:r>
      <w:r>
        <w:rPr>
          <w:rFonts w:ascii="Adobe Garamond Pro" w:eastAsiaTheme="minorHAnsi" w:hAnsi="Adobe Garamond Pro" w:cstheme="minorBidi"/>
          <w:b/>
          <w:sz w:val="28"/>
          <w:szCs w:val="28"/>
        </w:rPr>
        <w:t>Bosni i H</w:t>
      </w:r>
      <w:r w:rsidRPr="004C77A0">
        <w:rPr>
          <w:rFonts w:ascii="Adobe Garamond Pro" w:eastAsiaTheme="minorHAnsi" w:hAnsi="Adobe Garamond Pro" w:cstheme="minorBidi"/>
          <w:b/>
          <w:sz w:val="28"/>
          <w:szCs w:val="28"/>
        </w:rPr>
        <w:t>ercegovini</w:t>
      </w:r>
    </w:p>
    <w:p w:rsidR="004C77A0" w:rsidRDefault="004C77A0" w:rsidP="00E828E8">
      <w:pPr>
        <w:pStyle w:val="NoSpacing"/>
        <w:jc w:val="center"/>
        <w:rPr>
          <w:rFonts w:ascii="Adobe Garamond Pro" w:eastAsiaTheme="minorHAnsi" w:hAnsi="Adobe Garamond Pro" w:cstheme="minorBidi"/>
          <w:b/>
        </w:rPr>
      </w:pPr>
    </w:p>
    <w:p w:rsidR="004C77A0" w:rsidRPr="004C77A0" w:rsidRDefault="004C77A0" w:rsidP="004C77A0">
      <w:pPr>
        <w:pStyle w:val="NoSpacing"/>
        <w:jc w:val="center"/>
        <w:rPr>
          <w:rFonts w:ascii="Adobe Garamond Pro" w:eastAsiaTheme="minorHAnsi" w:hAnsi="Adobe Garamond Pro" w:cstheme="minorBidi"/>
          <w:b/>
        </w:rPr>
      </w:pPr>
      <w:r w:rsidRPr="004C77A0">
        <w:rPr>
          <w:rFonts w:ascii="Adobe Garamond Pro" w:eastAsiaTheme="minorHAnsi" w:hAnsi="Adobe Garamond Pro" w:cstheme="minorBidi"/>
          <w:b/>
        </w:rPr>
        <w:t>Kemal Obad</w:t>
      </w:r>
    </w:p>
    <w:p w:rsidR="004C77A0" w:rsidRPr="004C77A0" w:rsidRDefault="004C77A0" w:rsidP="004C77A0">
      <w:pPr>
        <w:pStyle w:val="NoSpacing"/>
        <w:jc w:val="center"/>
        <w:rPr>
          <w:rFonts w:ascii="Adobe Garamond Pro" w:eastAsiaTheme="minorHAnsi" w:hAnsi="Adobe Garamond Pro" w:cstheme="minorBidi"/>
        </w:rPr>
      </w:pPr>
      <w:r w:rsidRPr="004C77A0">
        <w:rPr>
          <w:rFonts w:ascii="Adobe Garamond Pro" w:eastAsiaTheme="minorHAnsi" w:hAnsi="Adobe Garamond Pro" w:cstheme="minorBidi"/>
        </w:rPr>
        <w:t>Fakultet političkih nauka Sarajevo</w:t>
      </w:r>
    </w:p>
    <w:p w:rsidR="00E828E8" w:rsidRPr="004C77A0" w:rsidRDefault="004C77A0" w:rsidP="004C77A0">
      <w:pPr>
        <w:pStyle w:val="NoSpacing"/>
        <w:jc w:val="center"/>
        <w:rPr>
          <w:rFonts w:ascii="Adobe Garamond Pro" w:eastAsiaTheme="minorHAnsi" w:hAnsi="Adobe Garamond Pro" w:cstheme="minorBidi"/>
          <w:i/>
        </w:rPr>
      </w:pPr>
      <w:r w:rsidRPr="004C77A0">
        <w:rPr>
          <w:rFonts w:ascii="Adobe Garamond Pro" w:eastAsiaTheme="minorHAnsi" w:hAnsi="Adobe Garamond Pro" w:cstheme="minorBidi"/>
          <w:i/>
        </w:rPr>
        <w:t>E-mail: kemal.obad@yahoo.com</w:t>
      </w:r>
    </w:p>
    <w:p w:rsidR="004C77A0" w:rsidRPr="00E828E8" w:rsidRDefault="004C77A0" w:rsidP="004C77A0">
      <w:pPr>
        <w:pStyle w:val="NoSpacing"/>
        <w:jc w:val="center"/>
        <w:rPr>
          <w:rFonts w:ascii="Adobe Garamond Pro" w:eastAsia="Times New Roman" w:hAnsi="Adobe Garamond Pro" w:cs="Garamond"/>
          <w:i/>
          <w:color w:val="000000"/>
          <w:sz w:val="24"/>
          <w:szCs w:val="24"/>
          <w:lang w:val="bs-Latn-BA"/>
        </w:rPr>
      </w:pPr>
    </w:p>
    <w:p w:rsidR="002D2430" w:rsidRPr="00406E3A" w:rsidRDefault="004D7705" w:rsidP="002D2430">
      <w:pPr>
        <w:pStyle w:val="NoSpacing"/>
        <w:jc w:val="both"/>
        <w:rPr>
          <w:rFonts w:ascii="Adobe Garamond Pro" w:eastAsia="Times New Roman" w:hAnsi="Adobe Garamond Pro" w:cs="Garamond"/>
          <w:b/>
          <w:color w:val="000000"/>
          <w:lang w:val="bs-Latn-BA"/>
        </w:rPr>
      </w:pPr>
      <w:r w:rsidRPr="004D7705">
        <w:rPr>
          <w:rFonts w:ascii="Adobe Garamond Pro" w:hAnsi="Adobe Garamond Pro"/>
          <w:i/>
          <w:noProof/>
          <w:lang w:val="en-US"/>
        </w:rPr>
        <w:pict>
          <v:rect id="Rectangle 11" o:spid="_x0000_s1026" style="position:absolute;left:0;text-align:left;margin-left:-107.55pt;margin-top:3.95pt;width:334.45pt;height:34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" fillcolor="#f2f2f2 [3052]" stroked="f"/>
        </w:pict>
      </w:r>
      <w:r w:rsidRPr="004D7705">
        <w:rPr>
          <w:rFonts w:ascii="Adobe Garamond Pro" w:hAnsi="Adobe Garamond Pro"/>
          <w:i/>
          <w:noProof/>
          <w:lang w:val="en-US"/>
        </w:rPr>
        <w:pict>
          <v:shapetype id="_x0000_t202" coordsize="21600,21600" o:spt="202" path="m,l,21600r21600,l21600,xe">
            <v:stroke joinstyle="miter"/>
            <v:path gradientshapeok="t" o:connecttype="rect"/>
          </v:shapetype>
          <v:shape id="Text Box 6" o:spid="_x0000_s1028" type="#_x0000_t202" style="position:absolute;left:0;text-align:left;margin-left:-12.75pt;margin-top:6.3pt;width:239.95pt;height:340.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" fillcolor="#f2f2f2 [3052]" stroked="f">
            <v:textbox>
              <w:txbxContent>
                <w:p w:rsidR="00DA3F14" w:rsidRPr="00A6633C" w:rsidRDefault="00BD0D1C" w:rsidP="004C77A0">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00FF280B" w:rsidRPr="00A6633C">
                    <w:rPr>
                      <w:rFonts w:ascii="Adobe Garamond Pro" w:hAnsi="Adobe Garamond Pro" w:cs="Times New Roman"/>
                      <w:b/>
                      <w:i/>
                      <w:sz w:val="20"/>
                      <w:szCs w:val="20"/>
                      <w:lang w:val="bs-Latn-BA"/>
                    </w:rPr>
                    <w:t>:</w:t>
                  </w:r>
                  <w:r w:rsidR="004C77A0" w:rsidRPr="004C77A0">
                    <w:rPr>
                      <w:rFonts w:ascii="Adobe Garamond Pro" w:hAnsi="Adobe Garamond Pro"/>
                      <w:i/>
                      <w:sz w:val="20"/>
                      <w:szCs w:val="20"/>
                      <w:lang w:val="bs-Latn-BA"/>
                    </w:rPr>
                    <w:t>Stupanjem Lisabonskog ugovora na snagu 2009. godine, te uspostavom Evropske službe za vanjsko djelovanje (EEAS) 2010. godine, Evropska unija je poduzela potpuniji korak u definiranju svoje vanjske politike, konkretnijeg djelovanja u okviru međunarodnih odnosa te jače institucionalne organizacije u zastupanju svoje vanjsko-političke ideje. Bosna i Hercegovina kao potencijalni kandidat za članstvo, zbog svoje historijske i političko-pravne uređenosti, predstavlja velik izazov za vanjsko-političku i sigurnosnu praksu Evropske unije. U ovom radu nastoje se predstaviti perspektive i smjernice Evropske unije u definiranje vanjske politike prema Bosni i Hercegovini u proteklom periodu te naznačiti mogući odnos EU prema BiH u kontekstu vanjske i regionalne politike. U tom kontekstu obrađuje se uloga visokog predstavnika Unije za vanjske poslove i sigurnosnu politiku u procesu normalizacije političkih problema u BiH. Kroz analizu međunarodnog odnosa EU sa BiH, nastoji se odgovoriti na pitanje položaja BiH kao interesne sfere u domenu trenutne vanjske politike Evropske unije. U radu se razrađuje i shvatanje interesa EU za Bosnom i Hercegovinom kao sigurnosno-stabilnom zemljom u regiji, ali i buduće višedimenzionalne saradnje Unije i BiH do konačnog stupanja u članstvo. U konačnici, rad nastoji predstaviti utjecaj uspostavljene vanjske i sigurnosne politike Unije na BiH u njenom napretku ka evroatlanskim integracijama.</w:t>
                  </w:r>
                </w:p>
              </w:txbxContent>
            </v:textbox>
          </v:shape>
        </w:pict>
      </w:r>
      <w:r w:rsidRPr="004D7705">
        <w:rPr>
          <w:rFonts w:ascii="Adobe Garamond Pro" w:hAnsi="Adobe Garamond Pro"/>
          <w:b/>
          <w:noProof/>
          <w:lang w:val="en-US"/>
        </w:rPr>
        <w:pict>
          <v:shape id="Text Box 7" o:spid="_x0000_s1027" type="#_x0000_t202" style="position:absolute;left:0;text-align:left;margin-left:233.4pt;margin-top:6.45pt;width:133.8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" stroked="f" strokecolor="white [3212]">
            <v:textbox>
              <w:txbxContent>
                <w:p w:rsidR="00FF280B" w:rsidRPr="00A6633C" w:rsidRDefault="00DA3F14"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Ključne riječi:</w:t>
                  </w:r>
                  <w:r w:rsidR="004C77A0" w:rsidRPr="004C77A0">
                    <w:rPr>
                      <w:rFonts w:ascii="Adobe Garamond Pro" w:hAnsi="Adobe Garamond Pro"/>
                      <w:i/>
                      <w:sz w:val="20"/>
                      <w:szCs w:val="20"/>
                      <w:lang w:val="bs-Latn-BA"/>
                    </w:rPr>
                    <w:t>vanjska i sigurnosna politika EU, međunarodni odnosi, regionalna politika EU, Bosna i Hercegovina, EEAS</w:t>
                  </w:r>
                </w:p>
              </w:txbxContent>
            </v:textbox>
          </v:shape>
        </w:pict>
      </w:r>
    </w:p>
    <w:p w:rsidR="002D2430" w:rsidRPr="00406E3A" w:rsidRDefault="002D2430" w:rsidP="002D2430">
      <w:pPr>
        <w:pStyle w:val="NoSpacing"/>
        <w:jc w:val="both"/>
        <w:rPr>
          <w:rFonts w:ascii="Adobe Garamond Pro" w:hAnsi="Adobe Garamond Pro"/>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1B748B" w:rsidRPr="004C77A0" w:rsidRDefault="00741A54" w:rsidP="004C77A0">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r w:rsidR="002D2430" w:rsidRPr="00741A54">
        <w:rPr>
          <w:rFonts w:ascii="Adobe Garamond Pro" w:hAnsi="Adobe Garamond Pro"/>
          <w:sz w:val="24"/>
          <w:szCs w:val="24"/>
          <w:lang w:val="bs-Latn-BA"/>
        </w:rPr>
        <w:br w:type="page"/>
      </w:r>
      <w:r w:rsidR="004C77A0">
        <w:rPr>
          <w:rFonts w:ascii="Adobe Garamond Pro" w:hAnsi="Adobe Garamond Pro"/>
          <w:b/>
          <w:lang w:val="bs-Latn-BA"/>
        </w:rPr>
        <w:lastRenderedPageBreak/>
        <w:t>UVOD</w:t>
      </w:r>
    </w:p>
    <w:p w:rsidR="001B748B" w:rsidRPr="001B748B" w:rsidRDefault="001B748B" w:rsidP="001B748B">
      <w:pPr>
        <w:spacing w:after="0" w:line="240" w:lineRule="auto"/>
        <w:jc w:val="both"/>
        <w:rPr>
          <w:rFonts w:ascii="Adobe Garamond Pro" w:hAnsi="Adobe Garamond Pro"/>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Pitanje vanjske politike Evropske unije otvoreno je još od njenih početaka kao Zajednice za ugalj i čelik, 1951. godine, poslije i Evropske ekonomske zajednice (EEC). Hladnoratovske godine, odnosno bipolarno shvatanje svijeta, zemlje članice nastojale su postaviti pod okriljem vanjskopolitičkog djelovanja Sjedinjenih američkih država i njene tadašnje geopolitike. U definiranju određene zajedničke vanjske politike u tom periodu za članice Evropske zajednice, odnosno Unije, postojale su određene prepreke, koje su u svom širem kontekstu jednim dijelom doticale se i tematike, kako da svoje vanjskopolitičko djelovanje institucionalno sprovedu. </w:t>
      </w:r>
    </w:p>
    <w:p w:rsidR="004C77A0" w:rsidRDefault="004C77A0"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Neslaganja sa Sjedinjenim američkim državam te brojne krize tokom 70-tih godina (naftni embargo, arapsko-izraelski sukob, iranska revolucija) iziskivale da su da Evropa jasnije i odlučnije odredi svoju vanjskopolitičku doktrinu. Djelovanja su bila skoro minimalna a novi izazovi predstavljali su težak teret za EEC. Tim povodom 14. decembra 1973. godine ministri EEC-a, usvojili su „Deklaraciju o evropskom identitetu“ u Kopenhagenu, čiji cilj je bio bolje definisanje odnosa i odgovornosti EEC-a prema svijetu i globalnim dešavanjima.</w:t>
      </w:r>
      <w:r w:rsidRPr="004C77A0">
        <w:rPr>
          <w:rFonts w:ascii="Adobe Garamond Pro" w:hAnsi="Adobe Garamond Pro"/>
          <w:iCs/>
          <w:sz w:val="20"/>
          <w:szCs w:val="20"/>
          <w:vertAlign w:val="superscript"/>
          <w:lang w:val="bs-Latn-BA"/>
        </w:rPr>
        <w:footnoteReference w:id="2"/>
      </w:r>
      <w:r w:rsidRPr="004C77A0">
        <w:rPr>
          <w:rFonts w:ascii="Adobe Garamond Pro" w:hAnsi="Adobe Garamond Pro"/>
          <w:iCs/>
          <w:sz w:val="20"/>
          <w:szCs w:val="20"/>
          <w:lang w:val="bs-Latn-BA"/>
        </w:rPr>
        <w:t xml:space="preserve"> Ovaj prvi korak ujedno je predstavljao spremnost zemalja Evrope da budu ujedinjeni oko svoje zajedničke sigurnosne politike. Iako su odnosi sa SAD-om bili „umanjeni“ zbog neslaganja oko tadašnjih dešavanja na Bliskom istoku, EEC je nastavio dobru saradnju sa Azijom, naročito Kinom. </w:t>
      </w:r>
    </w:p>
    <w:p w:rsidR="004C77A0" w:rsidRDefault="004C77A0"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Sa donošenjem Jedinstvenog evropskog akta 1986. godine, usmjerit će se pažnja ka potpunijoj koordinaciji vanjske politike, kroz „zajedničko djelovanje“, a kroz akt je spomenuta i sigurnosna politika (član 30.2a). Akt je također imao nekoliko značajnih novina, a posebno se ogleda u jačanju nadlženosti Evropskog parlamenta.</w:t>
      </w:r>
    </w:p>
    <w:p w:rsidR="004C77A0" w:rsidRDefault="004C77A0"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Korak ka jačem institucionalnom uređenju vođenja vanjske politike bit će učinjen i Mastrihtskim ugovorom 1992/1993. godine, odnosno Ugovorom o Evropskoj uniji. Ovim sporazumom, pored ostalog, predviđena je i definisana zajednička vanjska i sigurnosna politika, kao drugi stub u novoj tripartnoj organizacionoj strukturi Evropske unije. Uvodi se i načelo suspidijarnosti kao opći princip funkcioniranja Evropskih zajednica, koje određuje njeno djelovanje u oblastima koje nisu u njezinoj isključivoj nadležnosti</w:t>
      </w:r>
      <w:r w:rsidRPr="004C77A0">
        <w:rPr>
          <w:rFonts w:ascii="Adobe Garamond Pro" w:hAnsi="Adobe Garamond Pro"/>
          <w:iCs/>
          <w:sz w:val="20"/>
          <w:szCs w:val="20"/>
          <w:vertAlign w:val="superscript"/>
          <w:lang w:val="bs-Latn-BA"/>
        </w:rPr>
        <w:footnoteReference w:id="3"/>
      </w:r>
      <w:r w:rsidRPr="004C77A0">
        <w:rPr>
          <w:rFonts w:ascii="Adobe Garamond Pro" w:hAnsi="Adobe Garamond Pro"/>
          <w:iCs/>
          <w:sz w:val="20"/>
          <w:szCs w:val="20"/>
          <w:lang w:val="bs-Latn-BA"/>
        </w:rPr>
        <w:t>, princip koji će poslije mnogo puta biti ispitivan.</w:t>
      </w:r>
    </w:p>
    <w:p w:rsidR="004C77A0" w:rsidRDefault="004C77A0"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Ugovorom iz Amsterdama (1997) nastavljeno je jačanje u kontekstu vanjskopolitičkog djelovanja, uvodi se glasanje kvalificiranom većinom u određenim </w:t>
      </w:r>
      <w:r w:rsidRPr="004C77A0">
        <w:rPr>
          <w:rFonts w:ascii="Adobe Garamond Pro" w:hAnsi="Adobe Garamond Pro"/>
          <w:iCs/>
          <w:sz w:val="20"/>
          <w:szCs w:val="20"/>
          <w:lang w:val="bs-Latn-BA"/>
        </w:rPr>
        <w:lastRenderedPageBreak/>
        <w:t>stvarima, stvara se operativna struktura za provođenje zajedničke vanjske i sigurnosne politike, uvodi se funkcija visokog predstavnika za zajedničku vanjsku i sigurnosnu politiku i evropska sigurnosna i odbrambena politika.</w:t>
      </w:r>
      <w:r w:rsidRPr="004C77A0">
        <w:rPr>
          <w:rFonts w:ascii="Adobe Garamond Pro" w:hAnsi="Adobe Garamond Pro"/>
          <w:iCs/>
          <w:sz w:val="20"/>
          <w:szCs w:val="20"/>
          <w:vertAlign w:val="superscript"/>
          <w:lang w:val="bs-Latn-BA"/>
        </w:rPr>
        <w:footnoteReference w:id="4"/>
      </w:r>
    </w:p>
    <w:p w:rsidR="004C77A0" w:rsidRPr="004C77A0" w:rsidRDefault="004C77A0" w:rsidP="004C77A0">
      <w:pPr>
        <w:spacing w:after="0" w:line="240" w:lineRule="auto"/>
        <w:ind w:firstLine="720"/>
        <w:jc w:val="both"/>
        <w:rPr>
          <w:rFonts w:ascii="Adobe Garamond Pro" w:hAnsi="Adobe Garamond Pro"/>
          <w:iCs/>
          <w:sz w:val="20"/>
          <w:szCs w:val="20"/>
          <w:lang w:val="bs-Latn-BA"/>
        </w:rPr>
      </w:pPr>
    </w:p>
    <w:p w:rsidR="004C77A0" w:rsidRPr="003D399B" w:rsidRDefault="004C77A0" w:rsidP="00E522D3">
      <w:pPr>
        <w:spacing w:after="0" w:line="240" w:lineRule="auto"/>
        <w:jc w:val="both"/>
        <w:rPr>
          <w:rFonts w:ascii="Adobe Garamond Pro" w:hAnsi="Adobe Garamond Pro"/>
          <w:b/>
          <w:bCs/>
          <w:lang w:val="bs-Latn-BA"/>
        </w:rPr>
      </w:pPr>
      <w:r w:rsidRPr="003D399B">
        <w:rPr>
          <w:rFonts w:ascii="Adobe Garamond Pro" w:hAnsi="Adobe Garamond Pro"/>
          <w:b/>
          <w:bCs/>
          <w:iCs/>
          <w:lang w:val="bs-Latn-BA"/>
        </w:rPr>
        <w:t xml:space="preserve">Uspostava </w:t>
      </w:r>
      <w:r w:rsidRPr="003D399B">
        <w:rPr>
          <w:rFonts w:ascii="Adobe Garamond Pro" w:hAnsi="Adobe Garamond Pro"/>
          <w:b/>
          <w:bCs/>
          <w:lang w:val="bs-Latn-BA"/>
        </w:rPr>
        <w:t>Službe za vanjske akcije (EEAS)</w:t>
      </w:r>
    </w:p>
    <w:p w:rsidR="00E522D3" w:rsidRPr="004C77A0" w:rsidRDefault="00E522D3" w:rsidP="00E522D3">
      <w:pPr>
        <w:spacing w:after="0" w:line="240" w:lineRule="auto"/>
        <w:jc w:val="both"/>
        <w:rPr>
          <w:rFonts w:ascii="Adobe Garamond Pro" w:hAnsi="Adobe Garamond Pro"/>
          <w:b/>
          <w:bCs/>
          <w:i/>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Nakon neuspjelog pokušaja uvođenja Evropskog ustava 2004. godine,  koji je trebao nastupiti na snagu 2006. godine, i zamjeniti sve dotašanje potpisane ugovore, Evropska unija se našla u političkoj krizi i neizvjesnosti oko daljeg djelovanja u budućnosti. U pitanje se bili dovedeni ne samo koncepcije evropskog identiteta, već i cjelokupna sigurnosna i odbrambena politika, ali i međusobna saradnja Evropskih zemalja. </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Stoga je u junu 2006 godine Evropsko vijeće predložilo da Njemačka, kao tadašnja predsjedavajuća zemlja u Evropskoj uniji pokrene inicijativu o novom reformskom ugovoru. Ugovor je postao poznat pod imenom Lisabonski ugovor, potpisan 2007. godine, stupio na snagu 2009. i predstavlja važan pravni temelj Evropske unije. Ovim ugovorom prestaje tradicionalna organmizacija unije po triju stubovima. Peti dio, odnosno odredba ugovora odnosila se na vanjsku aktivnost Unije i vanjsku politiku i zajedničku sigurnost. Djelovanje Unije na međunarodnoj sceni vodi se načelima, koja su nadahnjivala njezino stvaranje, razvoj i proširenje i koja ona nastoji promicati u ostatku svijeta:  demokratiji, vladavini prava, univerzalnosti i nedjeljivosti ljudskih prava i temeljnih sloboda, poštovanju ljudskog dostojanstva, načelima jednakosti i solidarnosti</w:t>
      </w:r>
      <w:r w:rsidRPr="004C77A0">
        <w:rPr>
          <w:rFonts w:ascii="Adobe Garamond Pro" w:hAnsi="Adobe Garamond Pro"/>
          <w:iCs/>
          <w:sz w:val="20"/>
          <w:szCs w:val="20"/>
          <w:vertAlign w:val="superscript"/>
          <w:lang w:val="bs-Latn-BA"/>
        </w:rPr>
        <w:footnoteReference w:id="5"/>
      </w:r>
      <w:r w:rsidRPr="004C77A0">
        <w:rPr>
          <w:rFonts w:ascii="Adobe Garamond Pro" w:hAnsi="Adobe Garamond Pro"/>
          <w:iCs/>
          <w:sz w:val="20"/>
          <w:szCs w:val="20"/>
          <w:lang w:val="bs-Latn-BA"/>
        </w:rPr>
        <w:t xml:space="preserve">. Ugovorom je definisano i saradnja sa drugim zemljama, zatim ko odlučuje o vanjskoj politici EU i druga važna pravna pitanja. Članom 13a-III uspostavlja se </w:t>
      </w:r>
      <w:r w:rsidRPr="004C77A0">
        <w:rPr>
          <w:rFonts w:ascii="Adobe Garamond Pro" w:hAnsi="Adobe Garamond Pro"/>
          <w:i/>
          <w:sz w:val="20"/>
          <w:szCs w:val="20"/>
          <w:lang w:val="bs-Latn-BA"/>
        </w:rPr>
        <w:t>Služba za vanjske akcije (European External Action Service – EEAS)</w:t>
      </w:r>
      <w:r w:rsidRPr="004C77A0">
        <w:rPr>
          <w:rFonts w:ascii="Adobe Garamond Pro" w:hAnsi="Adobe Garamond Pro"/>
          <w:iCs/>
          <w:sz w:val="20"/>
          <w:szCs w:val="20"/>
          <w:lang w:val="bs-Latn-BA"/>
        </w:rPr>
        <w:t>, koja je sa radom započela zvanično u decembru 2010. godine.</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Osnovni zadatak EEAS-a jeste da implementira zajedničku vanjsku i sigurnosnu politiku Evropske unije, i da predstavlja Evropsku uniju u odnosu na svjetske aktere. EEAS je također zasebna insititucija, ima vlastiti budžet. Sve ovo zapravo upućuje na zaključak da za razliku od prethodnih etapa, Evropska unija želi da objedinji vansjkopolitičke stavove svojih zemalja članica, a što se u prošlosti pokazalo izuzetno teškim zadatkom. Zabrinutost u pogledu i visokog predstavnika Evropske unije za vanjsku politiku i sigurnost jeste to, da li će vanjskopolitičko predstavljanje Evrope biti dovoljno ako se povjeri jednoj istituciji odnosno jednom čovjeku. Jer Evropska unija jeste međunarodni akter i kao takva želi da održi svoju ulogu, ali sa principijelnim ponašanjem, tj „mehkom moći“.</w:t>
      </w:r>
      <w:r w:rsidRPr="004C77A0">
        <w:rPr>
          <w:rFonts w:ascii="Adobe Garamond Pro" w:hAnsi="Adobe Garamond Pro"/>
          <w:iCs/>
          <w:sz w:val="20"/>
          <w:szCs w:val="20"/>
          <w:vertAlign w:val="superscript"/>
          <w:lang w:val="bs-Latn-BA"/>
        </w:rPr>
        <w:footnoteReference w:id="6"/>
      </w: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lastRenderedPageBreak/>
        <w:t>EEAS se sastoji od 6 odjela podijeljenih po geografskom kriteriju: 1) Afrika, 2) Azija, 3) Amerika, 4) Bliski istok i južni susjedi, 5) Rusija i istočni susjedi i zapadni balkan 6) Globalni i multilateralni odnosi. Svaki je zadužen da shodno geografskom određenju prati dešavanja regiona. Shodno tome, EU je željela da pobliže posjeduje informacije o određenoj zemlji, kako bi usmjeravala svoj vanjskopolitički tok.</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U globalizovanom svijetu, Evropska unija, jeste rezultat najprije ekonomske saradnje, ekonomskih interesa za boljom budućnosti i poslijeratnim razvojem. No, to nije značilo da se zemlje osnivačice Evropske zajedne za ugalj i čelik, posebno Njemačka i Francuska slažu i oko političkih pitanja. Važna činjenica jeste da je tadašnja istočna Njemačka ostala van okvira ovog sporazuma. Sa novim krizama i izazovima, posebno Zaljevskim ratom početkom 1990-tih te krizom na Balkanu, Evropska unija uvidjela je da se vanjskopolitičke relacije ne mogu održati samo na sporazumnoj i ugovornoj bazi, te da nekonkretna djelovanja označit će EU kao pukog posmatrača svjetskih odnosa. Trgovinska politika je bila u fokusu decenijama, i tranzicija da EU bude svjetski akte i u političkom poretku svjetskih odnosa izazvala je i ekonomsku paradigmu i idejnu viziju Evropske unije.</w:t>
      </w:r>
      <w:r w:rsidRPr="004C77A0">
        <w:rPr>
          <w:rFonts w:ascii="Adobe Garamond Pro" w:hAnsi="Adobe Garamond Pro"/>
          <w:iCs/>
          <w:sz w:val="20"/>
          <w:szCs w:val="20"/>
          <w:vertAlign w:val="superscript"/>
          <w:lang w:val="bs-Latn-BA"/>
        </w:rPr>
        <w:footnoteReference w:id="7"/>
      </w:r>
    </w:p>
    <w:p w:rsidR="004C77A0" w:rsidRPr="004C77A0" w:rsidRDefault="004C77A0" w:rsidP="004C77A0">
      <w:pPr>
        <w:spacing w:after="0" w:line="240" w:lineRule="auto"/>
        <w:ind w:firstLine="720"/>
        <w:jc w:val="both"/>
        <w:rPr>
          <w:rFonts w:ascii="Adobe Garamond Pro" w:hAnsi="Adobe Garamond Pro"/>
          <w:iCs/>
          <w:sz w:val="20"/>
          <w:szCs w:val="20"/>
          <w:lang w:val="bs-Latn-BA"/>
        </w:rPr>
      </w:pPr>
    </w:p>
    <w:p w:rsidR="004C77A0" w:rsidRPr="00E522D3" w:rsidRDefault="004C77A0" w:rsidP="00E522D3">
      <w:pPr>
        <w:spacing w:after="0" w:line="240" w:lineRule="auto"/>
        <w:jc w:val="both"/>
        <w:rPr>
          <w:rFonts w:ascii="Adobe Garamond Pro" w:hAnsi="Adobe Garamond Pro"/>
          <w:b/>
          <w:bCs/>
          <w:iCs/>
          <w:lang w:val="bs-Latn-BA"/>
        </w:rPr>
      </w:pPr>
      <w:r w:rsidRPr="00E522D3">
        <w:rPr>
          <w:rFonts w:ascii="Adobe Garamond Pro" w:hAnsi="Adobe Garamond Pro"/>
          <w:b/>
          <w:bCs/>
          <w:iCs/>
          <w:lang w:val="bs-Latn-BA"/>
        </w:rPr>
        <w:t>Neslaganja i političke krize</w:t>
      </w:r>
    </w:p>
    <w:p w:rsidR="00E522D3" w:rsidRPr="004C77A0" w:rsidRDefault="00E522D3" w:rsidP="00E522D3">
      <w:pPr>
        <w:spacing w:after="0" w:line="240" w:lineRule="auto"/>
        <w:jc w:val="both"/>
        <w:rPr>
          <w:rFonts w:ascii="Adobe Garamond Pro" w:hAnsi="Adobe Garamond Pro"/>
          <w:b/>
          <w:bCs/>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EEAS je trebao popuniti prazninu u vanjskopolitičkim relacijama Evropske unije, posebno nakon američke doktrinacije „globalnog rata perotiv terorizma“ te sukcesivnog političkog djelovanja Velike Britanije koja je često i odmicala od uspostavljenih normi EU, zbog svojih geopolitičkih odnosa sa Sjedinjenim američkim državama. Uspostava EEAS-a dolazi i u jednom vrlo trbulentom vremenu različitih kriza novog desetljeća XXI stoljeća te izazova sa kojima Evropska unija mora da se suoči. Trenutka ukrajinska kriza, pogoršanje odnosa sa Rusijom, označavaju eru u kojoj će diplomatija morati odigrati veliku ulgu. Poraz diplomatije bi značio samo produbljeni sukob, što bi se odrazilo i na ekonomski aspekat Unije. </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No i dešavanje prethodnih godina posebno 2010. godine sa napadom izraelskih komandosa na Flotilu slobode, kad je ubijeno nekoliko propalestinskih aktvista, uglavnom turskih državljana, pokazalo je da EU nije bila dovoljno jaka u stanju medijatora između Turske i Izraela, koji su ubrzo nakon toga prekinuli diplomatske odnose. </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Odgovori na arapske ustanke, odnosno politička previranja u Sjevernoj africi i Bliskom istoku Evropska unije posmatra dvostruko. S jednog aspekta, načelno podržava uspostavu demokratskih sistema, vladavinu prava, aspiracije naroda da se oslobodi diktatorskih režima. U martu 2011. godine usvojen je dokument/proglas o strateškoj reakciji </w:t>
      </w:r>
      <w:r w:rsidRPr="004C77A0">
        <w:rPr>
          <w:rFonts w:ascii="Adobe Garamond Pro" w:hAnsi="Adobe Garamond Pro"/>
          <w:iCs/>
          <w:sz w:val="20"/>
          <w:szCs w:val="20"/>
          <w:lang w:val="bs-Latn-BA"/>
        </w:rPr>
        <w:lastRenderedPageBreak/>
        <w:t>Evropke unije na dešavanja ua arapskom svijetu.</w:t>
      </w:r>
      <w:r w:rsidRPr="004C77A0">
        <w:rPr>
          <w:rFonts w:ascii="Adobe Garamond Pro" w:hAnsi="Adobe Garamond Pro"/>
          <w:iCs/>
          <w:sz w:val="20"/>
          <w:szCs w:val="20"/>
          <w:vertAlign w:val="superscript"/>
          <w:lang w:val="bs-Latn-BA"/>
        </w:rPr>
        <w:footnoteReference w:id="8"/>
      </w:r>
      <w:r w:rsidRPr="004C77A0">
        <w:rPr>
          <w:rFonts w:ascii="Adobe Garamond Pro" w:hAnsi="Adobe Garamond Pro"/>
          <w:iCs/>
          <w:sz w:val="20"/>
          <w:szCs w:val="20"/>
          <w:lang w:val="bs-Latn-BA"/>
        </w:rPr>
        <w:t xml:space="preserve"> Ono što se podcrtava u njemu jeste podrška za demokratskim vrijednostima ali velikim dijelom i obostrana ekonomska saradnja, za one vlade koje usvoje i implementiraju reforme. Dodatno obrazloženje stiglo je i u dokumentu usvojenom u maju</w:t>
      </w:r>
      <w:r w:rsidRPr="004C77A0">
        <w:rPr>
          <w:rFonts w:ascii="Adobe Garamond Pro" w:hAnsi="Adobe Garamond Pro"/>
          <w:iCs/>
          <w:sz w:val="20"/>
          <w:szCs w:val="20"/>
          <w:vertAlign w:val="superscript"/>
          <w:lang w:val="bs-Latn-BA"/>
        </w:rPr>
        <w:footnoteReference w:id="9"/>
      </w:r>
      <w:r w:rsidRPr="004C77A0">
        <w:rPr>
          <w:rFonts w:ascii="Adobe Garamond Pro" w:hAnsi="Adobe Garamond Pro"/>
          <w:iCs/>
          <w:sz w:val="20"/>
          <w:szCs w:val="20"/>
          <w:lang w:val="bs-Latn-BA"/>
        </w:rPr>
        <w:t xml:space="preserve"> „A new response to a changing Neighbourhood“, kroz koji je je više naglašan ekonomski aspekat u procesu demokratizacije i promjene sistema. </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Međutim, „preblaga“ reakcija zapravo je daleko od „strateške akcije“ kako se to nazivalo u početku. Ponuda finansijske pomoći izgledala je jednostrano, jer ni čelnici EU, a posebno pojedine države članice nisi bili sigurni da će novac otići u adekvatne svrhe, jer promjena vlasti je bila u toku, izbori se još nisu održali, a neizvjenost ko će doći na vlast (sekularisti ili islamisti) dovodila je u pitanje kredibilitet cjelokupne pomoći. Nakon 3 godine, jasno je da EU nije ispunila očekivanja koja je sama sebi zadala u tom pogledu u poljima na koje se fokusirala usvojenim dekretom: </w:t>
      </w:r>
      <w:r w:rsidRPr="004C77A0">
        <w:rPr>
          <w:rFonts w:ascii="Adobe Garamond Pro" w:hAnsi="Adobe Garamond Pro"/>
          <w:i/>
          <w:sz w:val="20"/>
          <w:szCs w:val="20"/>
          <w:lang w:val="bs-Latn-BA"/>
        </w:rPr>
        <w:t>tržište, mobilnost, novac</w:t>
      </w:r>
      <w:r w:rsidRPr="004C77A0">
        <w:rPr>
          <w:rFonts w:ascii="Adobe Garamond Pro" w:hAnsi="Adobe Garamond Pro"/>
          <w:iCs/>
          <w:sz w:val="20"/>
          <w:szCs w:val="20"/>
          <w:lang w:val="bs-Latn-BA"/>
        </w:rPr>
        <w:t xml:space="preserve">. </w:t>
      </w:r>
      <w:r w:rsidRPr="004C77A0">
        <w:rPr>
          <w:rFonts w:ascii="Adobe Garamond Pro" w:hAnsi="Adobe Garamond Pro"/>
          <w:iCs/>
          <w:sz w:val="20"/>
          <w:szCs w:val="20"/>
          <w:vertAlign w:val="superscript"/>
          <w:lang w:val="bs-Latn-BA"/>
        </w:rPr>
        <w:footnoteReference w:id="10"/>
      </w:r>
      <w:r w:rsidRPr="004C77A0">
        <w:rPr>
          <w:rFonts w:ascii="Adobe Garamond Pro" w:hAnsi="Adobe Garamond Pro"/>
          <w:iCs/>
          <w:sz w:val="20"/>
          <w:szCs w:val="20"/>
          <w:lang w:val="bs-Latn-BA"/>
        </w:rPr>
        <w:t xml:space="preserve"> Nije iskoristila svoje strateško djelovanje i stoga ostaje nejasan politički utjecaj na arapski svijet u proteklom periodu. Ipak zasigurno je da fokus na ove tri stvari možda je najviše utjecao na samu unutrašnju politiku Evropske unije umnogo veći nego na njeno vanjsko predstavljanje.</w:t>
      </w:r>
      <w:r w:rsidRPr="004C77A0">
        <w:rPr>
          <w:rFonts w:ascii="Adobe Garamond Pro" w:hAnsi="Adobe Garamond Pro"/>
          <w:iCs/>
          <w:sz w:val="20"/>
          <w:szCs w:val="20"/>
          <w:vertAlign w:val="superscript"/>
          <w:lang w:val="bs-Latn-BA"/>
        </w:rPr>
        <w:footnoteReference w:id="11"/>
      </w:r>
      <w:r w:rsidRPr="004C77A0">
        <w:rPr>
          <w:rFonts w:ascii="Adobe Garamond Pro" w:hAnsi="Adobe Garamond Pro"/>
          <w:iCs/>
          <w:sz w:val="20"/>
          <w:szCs w:val="20"/>
          <w:lang w:val="bs-Latn-BA"/>
        </w:rPr>
        <w:t xml:space="preserve"> Neslaganje oko protesta u arapskom svijetu, svakako je bilo kod zemalja koje su nekada imale kolonizatorsku ulogu, poput Francuske u Tunisu. Službenici institucija EU također, nisu gledali ulogu Unije u arapskom svijetu kao uspješnom ili efektnom. Dick Toornstra, direktor Ureda za promociju parlamentarne demokratije, pri Evropskom parlamentu je u intervjuju naveo kako je „arapsko proljeće pokazalo naše slabosti“, ističući posebno neodrživost sigurnosne politike koju treba mijenjati.</w:t>
      </w:r>
      <w:r w:rsidRPr="004C77A0">
        <w:rPr>
          <w:rFonts w:ascii="Adobe Garamond Pro" w:hAnsi="Adobe Garamond Pro"/>
          <w:iCs/>
          <w:sz w:val="20"/>
          <w:szCs w:val="20"/>
          <w:vertAlign w:val="superscript"/>
          <w:lang w:val="bs-Latn-BA"/>
        </w:rPr>
        <w:footnoteReference w:id="12"/>
      </w:r>
    </w:p>
    <w:p w:rsidR="004C77A0" w:rsidRPr="004C77A0" w:rsidRDefault="004C77A0" w:rsidP="004C77A0">
      <w:pPr>
        <w:spacing w:after="0" w:line="240" w:lineRule="auto"/>
        <w:ind w:firstLine="720"/>
        <w:jc w:val="both"/>
        <w:rPr>
          <w:rFonts w:ascii="Adobe Garamond Pro" w:hAnsi="Adobe Garamond Pro"/>
          <w:iCs/>
          <w:sz w:val="20"/>
          <w:szCs w:val="20"/>
          <w:lang w:val="bs-Latn-BA"/>
        </w:rPr>
      </w:pPr>
    </w:p>
    <w:p w:rsidR="004C77A0" w:rsidRPr="00E522D3" w:rsidRDefault="004C77A0" w:rsidP="00E522D3">
      <w:pPr>
        <w:spacing w:after="0" w:line="240" w:lineRule="auto"/>
        <w:jc w:val="both"/>
        <w:rPr>
          <w:rFonts w:ascii="Adobe Garamond Pro" w:hAnsi="Adobe Garamond Pro"/>
          <w:b/>
          <w:bCs/>
          <w:iCs/>
          <w:lang w:val="bs-Latn-BA"/>
        </w:rPr>
      </w:pPr>
      <w:r w:rsidRPr="00E522D3">
        <w:rPr>
          <w:rFonts w:ascii="Adobe Garamond Pro" w:hAnsi="Adobe Garamond Pro"/>
          <w:b/>
          <w:bCs/>
          <w:iCs/>
          <w:lang w:val="bs-Latn-BA"/>
        </w:rPr>
        <w:t>Suočavanja sa krizom na Balkanu</w:t>
      </w:r>
    </w:p>
    <w:p w:rsidR="00E522D3" w:rsidRPr="004C77A0" w:rsidRDefault="00E522D3" w:rsidP="00E522D3">
      <w:pPr>
        <w:spacing w:after="0" w:line="240" w:lineRule="auto"/>
        <w:jc w:val="both"/>
        <w:rPr>
          <w:rFonts w:ascii="Adobe Garamond Pro" w:hAnsi="Adobe Garamond Pro"/>
          <w:b/>
          <w:bCs/>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Jacques Poos, tadašnji ministra vanjskih poslova Luksemburga, je 1991. godine izjavio „Ovo je čas Evrope. Ovo nije čas amerike“</w:t>
      </w:r>
      <w:r w:rsidRPr="004C77A0">
        <w:rPr>
          <w:rFonts w:ascii="Adobe Garamond Pro" w:hAnsi="Adobe Garamond Pro"/>
          <w:iCs/>
          <w:sz w:val="20"/>
          <w:szCs w:val="20"/>
          <w:vertAlign w:val="superscript"/>
          <w:lang w:val="bs-Latn-BA"/>
        </w:rPr>
        <w:footnoteReference w:id="13"/>
      </w:r>
      <w:r w:rsidRPr="004C77A0">
        <w:rPr>
          <w:rFonts w:ascii="Adobe Garamond Pro" w:hAnsi="Adobe Garamond Pro"/>
          <w:iCs/>
          <w:sz w:val="20"/>
          <w:szCs w:val="20"/>
          <w:lang w:val="bs-Latn-BA"/>
        </w:rPr>
        <w:t xml:space="preserve">, aludirajući da tadašnja Evropska zajednica sa svojih 12 članica može riješiti konflikte na Balkanu. Iako se smatralo da uspostavom zajedničke vanjske i sigurnosne politike 1991. godine, nastupa razdoblje jačeg </w:t>
      </w:r>
      <w:r w:rsidRPr="004C77A0">
        <w:rPr>
          <w:rFonts w:ascii="Adobe Garamond Pro" w:hAnsi="Adobe Garamond Pro"/>
          <w:iCs/>
          <w:sz w:val="20"/>
          <w:szCs w:val="20"/>
          <w:lang w:val="bs-Latn-BA"/>
        </w:rPr>
        <w:lastRenderedPageBreak/>
        <w:t>institucionalnog i političkog djelovanja Evropske unije na globalnom nivou, to se nije desilo. Prvi test novouspostavljene doktrine jeste bila Balkanska kriza i raspad Jugoslavije, koji je već započeo te godine. Gorko iskustvo narednih godina, uključujući i dešavanja na Kosovu 1999. Evropsku uniju prisilit će da razvija instrumente kojima će jače uticati na region Balkana.</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Probitan pristup Evropske unije, odnosno tada Evropske zajednice, jeste bio očuvanje integriteta Jugoslavije. Međutim u ljeto 1991. tenzije između Hrvatske i samoproglašene Srpske autonomne Krajine ukazivali su da pokušaji očuvanja teritorijalnog integriteta su osuđeni na neuspjeh. Ranije je Evropsko vijeće isticalo spremnost za finansijsku pomoć, ukoliko se određeni ekonomski i politički uslovi ujedinje u Jugoslaviji.</w:t>
      </w:r>
      <w:r w:rsidRPr="004C77A0">
        <w:rPr>
          <w:rFonts w:ascii="Adobe Garamond Pro" w:hAnsi="Adobe Garamond Pro"/>
          <w:iCs/>
          <w:sz w:val="20"/>
          <w:szCs w:val="20"/>
          <w:vertAlign w:val="superscript"/>
          <w:lang w:val="bs-Latn-BA"/>
        </w:rPr>
        <w:footnoteReference w:id="14"/>
      </w:r>
      <w:r w:rsidRPr="004C77A0">
        <w:rPr>
          <w:rFonts w:ascii="Adobe Garamond Pro" w:hAnsi="Adobe Garamond Pro"/>
          <w:iCs/>
          <w:sz w:val="20"/>
          <w:szCs w:val="20"/>
          <w:lang w:val="bs-Latn-BA"/>
        </w:rPr>
        <w:t xml:space="preserve"> 1991. godine Evropska zajednica je uspostavila trgovačke veze sa jugoslavenskim republikama (osim Srbije i Crne Gore), što je kod srpske strane shvaćeno kao nedostatak neutralnosti EZ.</w:t>
      </w:r>
      <w:r w:rsidRPr="004C77A0">
        <w:rPr>
          <w:rFonts w:ascii="Adobe Garamond Pro" w:hAnsi="Adobe Garamond Pro"/>
          <w:iCs/>
          <w:sz w:val="20"/>
          <w:szCs w:val="20"/>
          <w:vertAlign w:val="superscript"/>
          <w:lang w:val="bs-Latn-BA"/>
        </w:rPr>
        <w:footnoteReference w:id="15"/>
      </w:r>
      <w:r w:rsidRPr="004C77A0">
        <w:rPr>
          <w:rFonts w:ascii="Adobe Garamond Pro" w:hAnsi="Adobe Garamond Pro"/>
          <w:iCs/>
          <w:sz w:val="20"/>
          <w:szCs w:val="20"/>
          <w:lang w:val="bs-Latn-BA"/>
        </w:rPr>
        <w:t xml:space="preserve"> Ranija humanitarna pomoć je također, bila prisutna kroz PHARE i OBNOVA programe</w:t>
      </w:r>
      <w:r w:rsidRPr="004C77A0">
        <w:rPr>
          <w:rFonts w:ascii="Adobe Garamond Pro" w:hAnsi="Adobe Garamond Pro"/>
          <w:iCs/>
          <w:sz w:val="20"/>
          <w:szCs w:val="20"/>
          <w:vertAlign w:val="superscript"/>
          <w:lang w:val="bs-Latn-BA"/>
        </w:rPr>
        <w:footnoteReference w:id="16"/>
      </w:r>
      <w:r w:rsidRPr="004C77A0">
        <w:rPr>
          <w:rFonts w:ascii="Adobe Garamond Pro" w:hAnsi="Adobe Garamond Pro"/>
          <w:iCs/>
          <w:sz w:val="20"/>
          <w:szCs w:val="20"/>
          <w:lang w:val="bs-Latn-BA"/>
        </w:rPr>
        <w:t xml:space="preserve"> Sve ove početne incijative o smirivanju situacija i mirnom razrješenju Jugoslavije, Evropska unija je vršila kroz ekonomsku pomoć i načelne političke inicijative. Odluka da se ekonomskim principom smiri situacija je bila i u pogrešeno vrijeme donesena, a nedostatak političkog djelovanja rezultirat će eskalacijom nasilja, i na koncu ratnim sukobima. </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U razumjevanju metoda i pokušaja rješavanja jugoslavenske krize od strane Evropske unije, potrebno je sagledati tri važne činjenice: </w:t>
      </w:r>
    </w:p>
    <w:p w:rsidR="00E522D3" w:rsidRPr="004C77A0"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numPr>
          <w:ilvl w:val="0"/>
          <w:numId w:val="10"/>
        </w:numPr>
        <w:spacing w:after="0" w:line="240" w:lineRule="auto"/>
        <w:jc w:val="both"/>
        <w:rPr>
          <w:rFonts w:ascii="Adobe Garamond Pro" w:hAnsi="Adobe Garamond Pro"/>
          <w:i/>
          <w:sz w:val="20"/>
          <w:szCs w:val="20"/>
          <w:lang w:val="bs-Latn-BA"/>
        </w:rPr>
      </w:pPr>
      <w:r w:rsidRPr="004C77A0">
        <w:rPr>
          <w:rFonts w:ascii="Adobe Garamond Pro" w:hAnsi="Adobe Garamond Pro"/>
          <w:i/>
          <w:sz w:val="20"/>
          <w:szCs w:val="20"/>
          <w:lang w:val="bs-Latn-BA"/>
        </w:rPr>
        <w:t>evropske lideri nisu imali političko jedinstvo u percepciji dešavanja u Jugoslaviji</w:t>
      </w:r>
      <w:r w:rsidRPr="004C77A0">
        <w:rPr>
          <w:rFonts w:ascii="Adobe Garamond Pro" w:hAnsi="Adobe Garamond Pro"/>
          <w:iCs/>
          <w:sz w:val="20"/>
          <w:szCs w:val="20"/>
          <w:lang w:val="bs-Latn-BA"/>
        </w:rPr>
        <w:t>, a to je najbolje pokazala situacija 1991. godine, kada je lord Carrington nastojao iznači političko rješenje za jugoslavensku krizu. Njemačka, za razliku od svih drugih zemalja priznaje Hrvatsku i Sloveniju kao nezavisne i suverene države, iako je prethodno donijeta odluka da Evropske zajednica neće pomoći nijednoj državi republici koja krene ka samoopredjeljenju.</w:t>
      </w:r>
      <w:r w:rsidRPr="004C77A0">
        <w:rPr>
          <w:rFonts w:ascii="Adobe Garamond Pro" w:hAnsi="Adobe Garamond Pro"/>
          <w:iCs/>
          <w:sz w:val="20"/>
          <w:szCs w:val="20"/>
          <w:vertAlign w:val="superscript"/>
          <w:lang w:val="bs-Latn-BA"/>
        </w:rPr>
        <w:footnoteReference w:id="17"/>
      </w:r>
      <w:r w:rsidRPr="004C77A0">
        <w:rPr>
          <w:rFonts w:ascii="Adobe Garamond Pro" w:hAnsi="Adobe Garamond Pro"/>
          <w:iCs/>
          <w:sz w:val="20"/>
          <w:szCs w:val="20"/>
          <w:lang w:val="bs-Latn-BA"/>
        </w:rPr>
        <w:t xml:space="preserve"> Kasnije je Evropska zajendica uvidjela da postoje strateške vrijednosti priznanja bivših jugoslavenskih republika, koji bi mogle spriječiti sukobe regionu.</w:t>
      </w:r>
    </w:p>
    <w:p w:rsidR="004C77A0" w:rsidRPr="004C77A0" w:rsidRDefault="004C77A0" w:rsidP="004C77A0">
      <w:pPr>
        <w:numPr>
          <w:ilvl w:val="0"/>
          <w:numId w:val="10"/>
        </w:numPr>
        <w:spacing w:after="0" w:line="240" w:lineRule="auto"/>
        <w:jc w:val="both"/>
        <w:rPr>
          <w:rFonts w:ascii="Adobe Garamond Pro" w:hAnsi="Adobe Garamond Pro"/>
          <w:i/>
          <w:sz w:val="20"/>
          <w:szCs w:val="20"/>
          <w:lang w:val="bs-Latn-BA"/>
        </w:rPr>
      </w:pPr>
      <w:r w:rsidRPr="004C77A0">
        <w:rPr>
          <w:rFonts w:ascii="Adobe Garamond Pro" w:hAnsi="Adobe Garamond Pro"/>
          <w:i/>
          <w:sz w:val="20"/>
          <w:szCs w:val="20"/>
          <w:lang w:val="bs-Latn-BA"/>
        </w:rPr>
        <w:t>nedostatak vanjskopolitičkog iskustva,</w:t>
      </w:r>
      <w:r w:rsidRPr="004C77A0">
        <w:rPr>
          <w:rFonts w:ascii="Adobe Garamond Pro" w:hAnsi="Adobe Garamond Pro"/>
          <w:iCs/>
          <w:sz w:val="20"/>
          <w:szCs w:val="20"/>
          <w:lang w:val="bs-Latn-BA"/>
        </w:rPr>
        <w:t xml:space="preserve"> Evropska zajednice u tom periodu tek je počela razvijati određene mehanizme svog vanjskopoltičkog djelovanja. Okončanje hladnoratovske politike, odnosno varšavskog pakta, Evropa je dočekala kao ohrabrujuću okolnost u kojoj bi imala veću ulogu globalnog aktera i ujedinjavanju sa istočnom dijelom kontinenta. Za razliku od današnje percepcije, EZ tada nije smatrala regionalno proširenje značajnim instrumentom u jačanju sigurnosti, kao </w:t>
      </w:r>
      <w:r w:rsidRPr="004C77A0">
        <w:rPr>
          <w:rFonts w:ascii="Adobe Garamond Pro" w:hAnsi="Adobe Garamond Pro"/>
          <w:iCs/>
          <w:sz w:val="20"/>
          <w:szCs w:val="20"/>
          <w:lang w:val="bs-Latn-BA"/>
        </w:rPr>
        <w:lastRenderedPageBreak/>
        <w:t>što je to postao slučaju tokom kosovske krize 1999. godine.</w:t>
      </w:r>
      <w:r w:rsidRPr="004C77A0">
        <w:rPr>
          <w:rFonts w:ascii="Adobe Garamond Pro" w:hAnsi="Adobe Garamond Pro"/>
          <w:iCs/>
          <w:sz w:val="20"/>
          <w:szCs w:val="20"/>
          <w:vertAlign w:val="superscript"/>
          <w:lang w:val="bs-Latn-BA"/>
        </w:rPr>
        <w:footnoteReference w:id="18"/>
      </w:r>
      <w:r w:rsidRPr="004C77A0">
        <w:rPr>
          <w:rFonts w:ascii="Adobe Garamond Pro" w:hAnsi="Adobe Garamond Pro"/>
          <w:iCs/>
          <w:sz w:val="20"/>
          <w:szCs w:val="20"/>
          <w:lang w:val="bs-Latn-BA"/>
        </w:rPr>
        <w:t xml:space="preserve"> Stoga je neiskustvo u djelovanju tokom oružanih sukoba uveliko degradiralo evropske intitucije, i pored velike podjele među zemljama članicama (tadašnjih 12 njih)</w:t>
      </w:r>
    </w:p>
    <w:p w:rsidR="004C77A0" w:rsidRPr="00E522D3" w:rsidRDefault="004C77A0" w:rsidP="004C77A0">
      <w:pPr>
        <w:numPr>
          <w:ilvl w:val="0"/>
          <w:numId w:val="10"/>
        </w:numPr>
        <w:spacing w:after="0" w:line="240" w:lineRule="auto"/>
        <w:jc w:val="both"/>
        <w:rPr>
          <w:rFonts w:ascii="Adobe Garamond Pro" w:hAnsi="Adobe Garamond Pro"/>
          <w:i/>
          <w:sz w:val="20"/>
          <w:szCs w:val="20"/>
          <w:lang w:val="bs-Latn-BA"/>
        </w:rPr>
      </w:pPr>
      <w:r w:rsidRPr="004C77A0">
        <w:rPr>
          <w:rFonts w:ascii="Adobe Garamond Pro" w:hAnsi="Adobe Garamond Pro"/>
          <w:i/>
          <w:sz w:val="20"/>
          <w:szCs w:val="20"/>
          <w:lang w:val="bs-Latn-BA"/>
        </w:rPr>
        <w:t>postratovska politika EU prema Balkanu jeste regionalna</w:t>
      </w:r>
      <w:r w:rsidRPr="004C77A0">
        <w:rPr>
          <w:rFonts w:ascii="Adobe Garamond Pro" w:hAnsi="Adobe Garamond Pro"/>
          <w:iCs/>
          <w:sz w:val="20"/>
          <w:szCs w:val="20"/>
          <w:lang w:val="bs-Latn-BA"/>
        </w:rPr>
        <w:t>¸ nakon Dejtonsko sporazuma, a kasnije i poslije sukoba na Kosovu, EU djeluje kao medijator u procesima demokratizacije i stabilizacije. To dokazuju mnoge regionalne inicijative, posebno Proces stabilizacije i pridruživanja. No unutrašnja politike zemelje Balkana, odnos bivših zemlje Jugosalvije, također se ne prepušta slučaju. Dejtonski sporazum je pokazao je i da treći akteri imaju politički interes za ovaj region, u prvom slučaju su Sjedinjene američke države koje su imale vojnu komponentu, a EU civilnu.</w:t>
      </w:r>
      <w:r w:rsidRPr="004C77A0">
        <w:rPr>
          <w:rFonts w:ascii="Adobe Garamond Pro" w:hAnsi="Adobe Garamond Pro"/>
          <w:iCs/>
          <w:sz w:val="20"/>
          <w:szCs w:val="20"/>
          <w:vertAlign w:val="superscript"/>
          <w:lang w:val="bs-Latn-BA"/>
        </w:rPr>
        <w:footnoteReference w:id="19"/>
      </w:r>
      <w:r w:rsidRPr="004C77A0">
        <w:rPr>
          <w:rFonts w:ascii="Adobe Garamond Pro" w:hAnsi="Adobe Garamond Pro"/>
          <w:iCs/>
          <w:sz w:val="20"/>
          <w:szCs w:val="20"/>
          <w:lang w:val="bs-Latn-BA"/>
        </w:rPr>
        <w:t xml:space="preserve"> No pitanja poput NATO-a, i učešća UN-a i danas su veliko otvoreno i kontraverzna, posbeno u slučaju Bosne i Hercegovine, koja predstavlja izazov u pogledu političke kohrenentosti.</w:t>
      </w:r>
    </w:p>
    <w:p w:rsidR="00E522D3" w:rsidRPr="004C77A0" w:rsidRDefault="00E522D3" w:rsidP="00E522D3">
      <w:pPr>
        <w:spacing w:after="0" w:line="240" w:lineRule="auto"/>
        <w:ind w:left="720"/>
        <w:jc w:val="both"/>
        <w:rPr>
          <w:rFonts w:ascii="Adobe Garamond Pro" w:hAnsi="Adobe Garamond Pro"/>
          <w:i/>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Jugoslavenska kriza, sa posebnim osvrtom na BiH, jeste bila možda jedna od najvećih izazova za EZ, odnosno Evropsku uniju, koja je greške iz prošlosti nastojala naučiti kroz veće regionalno učešće na Zapadnom Balkanu. Ipak, kriza i ratna dešavanja tokom 1990-tih omogućili su Evropskoj uniji da ojača svoje vojne i sigurnosne kapacitete, konkretizira prioritete i definira političku viziju prema ovog regionu. „Evropska perspektiva“ kao novi koncept evropske politike ima za cilj da približi zemlje Balkana Evropi Uniji, a uspostavom finansijskih programa pomoć poput CARDS-a, a zatim i IPA, zemljama Zapadnog Balkana želi su pružiti mogućnost da provedu potrebne reforme svojih sistema, posebno u sudstvu, ekonomskom razvoju.</w:t>
      </w:r>
      <w:r w:rsidRPr="004C77A0">
        <w:rPr>
          <w:rFonts w:ascii="Adobe Garamond Pro" w:hAnsi="Adobe Garamond Pro"/>
          <w:iCs/>
          <w:sz w:val="20"/>
          <w:szCs w:val="20"/>
          <w:vertAlign w:val="superscript"/>
          <w:lang w:val="bs-Latn-BA"/>
        </w:rPr>
        <w:footnoteReference w:id="20"/>
      </w:r>
    </w:p>
    <w:p w:rsidR="004C77A0" w:rsidRPr="004C77A0" w:rsidRDefault="004C77A0" w:rsidP="004C77A0">
      <w:pPr>
        <w:spacing w:after="0" w:line="240" w:lineRule="auto"/>
        <w:ind w:firstLine="720"/>
        <w:jc w:val="both"/>
        <w:rPr>
          <w:rFonts w:ascii="Adobe Garamond Pro" w:hAnsi="Adobe Garamond Pro"/>
          <w:iCs/>
          <w:sz w:val="20"/>
          <w:szCs w:val="20"/>
          <w:lang w:val="bs-Latn-BA"/>
        </w:rPr>
      </w:pPr>
    </w:p>
    <w:p w:rsidR="004C77A0" w:rsidRPr="00E522D3" w:rsidRDefault="004C77A0" w:rsidP="00E522D3">
      <w:pPr>
        <w:spacing w:after="0" w:line="240" w:lineRule="auto"/>
        <w:jc w:val="both"/>
        <w:rPr>
          <w:rFonts w:ascii="Adobe Garamond Pro" w:hAnsi="Adobe Garamond Pro"/>
          <w:b/>
          <w:bCs/>
          <w:iCs/>
          <w:lang w:val="bs-Latn-BA"/>
        </w:rPr>
      </w:pPr>
      <w:r w:rsidRPr="00E522D3">
        <w:rPr>
          <w:rFonts w:ascii="Adobe Garamond Pro" w:hAnsi="Adobe Garamond Pro"/>
          <w:b/>
          <w:bCs/>
          <w:iCs/>
          <w:lang w:val="bs-Latn-BA"/>
        </w:rPr>
        <w:t>Evropska unija i slučaj BiH</w:t>
      </w:r>
    </w:p>
    <w:p w:rsidR="00E522D3" w:rsidRPr="004C77A0" w:rsidRDefault="00E522D3" w:rsidP="00E522D3">
      <w:pPr>
        <w:spacing w:after="0" w:line="240" w:lineRule="auto"/>
        <w:jc w:val="both"/>
        <w:rPr>
          <w:rFonts w:ascii="Adobe Garamond Pro" w:hAnsi="Adobe Garamond Pro"/>
          <w:b/>
          <w:bCs/>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Tadašnja Evropska zajednica nastojala je početkom 1992. godine održati niz susreta kako bi se došlo do dogovora o budućnosti BiH, no sastanci su bili bez vidnih rezultata. Poznata kao Cutillerova misijama sastanci su više zadržani na sistemu dogovoreno, ali ne i potpisano. No, prijedlog konferencije o BiH označavalo je početak uključenosti Evropske zajednice u rješavanja pitanja bh suverenosti i nezavinosti.</w:t>
      </w:r>
      <w:r w:rsidRPr="004C77A0">
        <w:rPr>
          <w:rFonts w:ascii="Adobe Garamond Pro" w:hAnsi="Adobe Garamond Pro"/>
          <w:iCs/>
          <w:sz w:val="20"/>
          <w:szCs w:val="20"/>
          <w:vertAlign w:val="superscript"/>
          <w:lang w:val="bs-Latn-BA"/>
        </w:rPr>
        <w:footnoteReference w:id="21"/>
      </w: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lastRenderedPageBreak/>
        <w:t>Do aprila 1992. godine Cutillerova misija izgubila svoj smisao. Lord Carrington, nakon preuzimanja Velike Britanije predsjedavanjem EZ-e, također organizuje niz susreta sa predstavnicima triju strana iz BiH, no bezuspješno, jer u međuvremenu dok je Evropska zajednica insitirala na mirovnom rješavanju situzacije, po BiH su se dešavali novi zločini, a SDS konstanto sabotirao nove pregovore. U period od 1992-1995, EZ nije umnogo pokazivala dovoljno političkog djelovanja da okončna sukobe i nastojanja Srbije i Crne Gore i Hrvastke oko podjele terirotrija BiH. U ovom periodu se uključuje UN i šira međunarodna zajednica, zajedno sa novoizbranom američkom administracijom Bill Clintona, a predloženo je nekoliko mirovnih sporazuma prije konačnog definiranja Dejtona 1995.</w:t>
      </w:r>
      <w:r w:rsidRPr="004C77A0">
        <w:rPr>
          <w:rFonts w:ascii="Adobe Garamond Pro" w:hAnsi="Adobe Garamond Pro"/>
          <w:iCs/>
          <w:sz w:val="20"/>
          <w:szCs w:val="20"/>
          <w:vertAlign w:val="superscript"/>
          <w:lang w:val="bs-Latn-BA"/>
        </w:rPr>
        <w:footnoteReference w:id="22"/>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Evropska zajednica je odbijala bilo kakve inicijative o ulasku Hrvatske u okvire EU, iako su spremno otvarali pregovaračke krugove sa svim stranama, jer su smatrali Tuđmana i Miloševića odgovornim za etničko čišćenje, a kasnije i dokazani genocid u BiH.</w:t>
      </w:r>
      <w:r w:rsidRPr="004C77A0">
        <w:rPr>
          <w:rFonts w:ascii="Adobe Garamond Pro" w:hAnsi="Adobe Garamond Pro"/>
          <w:iCs/>
          <w:sz w:val="20"/>
          <w:szCs w:val="20"/>
          <w:vertAlign w:val="superscript"/>
          <w:lang w:val="bs-Latn-BA"/>
        </w:rPr>
        <w:footnoteReference w:id="23"/>
      </w:r>
      <w:r w:rsidRPr="004C77A0">
        <w:rPr>
          <w:rFonts w:ascii="Adobe Garamond Pro" w:hAnsi="Adobe Garamond Pro"/>
          <w:iCs/>
          <w:sz w:val="20"/>
          <w:szCs w:val="20"/>
          <w:lang w:val="bs-Latn-BA"/>
        </w:rPr>
        <w:t xml:space="preserve"> Owen, jedan od predlagača mirovnog spomaruzma istakao je u svojoj knjizi da je tokom tri godine EU funkcionirala kao primarni vanjski menažder za krizu, iako se njena politika u ovom periodu smatra neuspjehom.</w:t>
      </w:r>
      <w:r w:rsidRPr="004C77A0">
        <w:rPr>
          <w:rFonts w:ascii="Adobe Garamond Pro" w:hAnsi="Adobe Garamond Pro"/>
          <w:iCs/>
          <w:sz w:val="20"/>
          <w:szCs w:val="20"/>
          <w:vertAlign w:val="superscript"/>
          <w:lang w:val="bs-Latn-BA"/>
        </w:rPr>
        <w:footnoteReference w:id="24"/>
      </w:r>
      <w:r w:rsidRPr="004C77A0">
        <w:rPr>
          <w:rFonts w:ascii="Adobe Garamond Pro" w:hAnsi="Adobe Garamond Pro"/>
          <w:iCs/>
          <w:sz w:val="20"/>
          <w:szCs w:val="20"/>
          <w:lang w:val="bs-Latn-BA"/>
        </w:rPr>
        <w:t xml:space="preserve"> Nakon rata, Evropska unija se okrenula na političku stabilizaciju ne samo BiH i regiona. Ipak Bosna i Hercegovina je bila u značajnom fokusu i njena sigurnost i stabilnost smatrala se ključnom u odnosima između zemalja Zapadnog Balkana. </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Evropska unija je posmatrala BiH u različitim kontekstima shodno historijskim dešavanjima i prilikama. Njeno shvatanje povijesti i prilika u BiH, kulturne nacionalne podijeljenosti varirale su od 1990-tih godina. Prema tome, u analitičkom diskursu Evropska unija je različito posmatrala BiH kroz doktrinu svoje vanjske politike, i kroz nove forme regionalnog razvoja, a odnosi se na integraciju BiH u okvire Evropske unije.</w:t>
      </w:r>
    </w:p>
    <w:p w:rsidR="004C77A0" w:rsidRPr="004C77A0" w:rsidRDefault="004C77A0" w:rsidP="004C77A0">
      <w:pPr>
        <w:spacing w:after="0" w:line="240" w:lineRule="auto"/>
        <w:ind w:firstLine="720"/>
        <w:jc w:val="both"/>
        <w:rPr>
          <w:rFonts w:ascii="Adobe Garamond Pro" w:hAnsi="Adobe Garamond Pro"/>
          <w:iCs/>
          <w:sz w:val="20"/>
          <w:szCs w:val="20"/>
          <w:lang w:val="bs-Latn-BA"/>
        </w:rPr>
      </w:pPr>
    </w:p>
    <w:p w:rsidR="004C77A0" w:rsidRPr="00E522D3" w:rsidRDefault="004C77A0" w:rsidP="00E522D3">
      <w:pPr>
        <w:spacing w:after="0" w:line="240" w:lineRule="auto"/>
        <w:jc w:val="both"/>
        <w:rPr>
          <w:rFonts w:ascii="Adobe Garamond Pro" w:hAnsi="Adobe Garamond Pro"/>
          <w:b/>
          <w:bCs/>
          <w:iCs/>
          <w:lang w:val="bs-Latn-BA"/>
        </w:rPr>
      </w:pPr>
      <w:r w:rsidRPr="00E522D3">
        <w:rPr>
          <w:rFonts w:ascii="Adobe Garamond Pro" w:hAnsi="Adobe Garamond Pro"/>
          <w:b/>
          <w:bCs/>
          <w:iCs/>
          <w:lang w:val="bs-Latn-BA"/>
        </w:rPr>
        <w:t>BiH u vanjskoj politici EU</w:t>
      </w:r>
    </w:p>
    <w:p w:rsidR="00E522D3" w:rsidRPr="004C77A0" w:rsidRDefault="00E522D3" w:rsidP="00E522D3">
      <w:pPr>
        <w:spacing w:after="0" w:line="240" w:lineRule="auto"/>
        <w:jc w:val="both"/>
        <w:rPr>
          <w:rFonts w:ascii="Adobe Garamond Pro" w:hAnsi="Adobe Garamond Pro"/>
          <w:b/>
          <w:bCs/>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Kako smo prethodno istakli vanjska politika Evropke unije imala je svoju različitu dinamku razvoja koja je najčešće usmjerevana na osnovne dvije stvari: geopolitičke okolnosti svjetskih dešavanja; i političke, insititucionalne i ustavna organiziranost Evrope (od Evropske zajednice za ugalj i čelik, Evropske ekonomske zajednice, Evropske zajednice do Evropke unije). </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U teoriji, savremenu vanjsku politka EU karakterišu tri odlike: </w:t>
      </w:r>
      <w:r w:rsidRPr="004C77A0">
        <w:rPr>
          <w:rFonts w:ascii="Adobe Garamond Pro" w:hAnsi="Adobe Garamond Pro"/>
          <w:i/>
          <w:sz w:val="20"/>
          <w:szCs w:val="20"/>
          <w:lang w:val="bs-Latn-BA"/>
        </w:rPr>
        <w:t>apsiracije</w:t>
      </w:r>
      <w:r w:rsidRPr="004C77A0">
        <w:rPr>
          <w:rFonts w:ascii="Adobe Garamond Pro" w:hAnsi="Adobe Garamond Pro"/>
          <w:iCs/>
          <w:sz w:val="20"/>
          <w:szCs w:val="20"/>
          <w:lang w:val="bs-Latn-BA"/>
        </w:rPr>
        <w:t xml:space="preserve">, tj težnje za većom globalnom uključenošću. To bi značilo postojanje evropskog indentiteta, koji je neopohodan da bi bilo koji akter postao i globalni igrač. Drugo jeste </w:t>
      </w:r>
      <w:r w:rsidRPr="004C77A0">
        <w:rPr>
          <w:rFonts w:ascii="Adobe Garamond Pro" w:hAnsi="Adobe Garamond Pro"/>
          <w:i/>
          <w:sz w:val="20"/>
          <w:szCs w:val="20"/>
          <w:lang w:val="bs-Latn-BA"/>
        </w:rPr>
        <w:t>legitimitet</w:t>
      </w:r>
      <w:r w:rsidRPr="004C77A0">
        <w:rPr>
          <w:rFonts w:ascii="Adobe Garamond Pro" w:hAnsi="Adobe Garamond Pro"/>
          <w:iCs/>
          <w:sz w:val="20"/>
          <w:szCs w:val="20"/>
          <w:lang w:val="bs-Latn-BA"/>
        </w:rPr>
        <w:t xml:space="preserve">, odlika koja postoji u različitim oblicima. To je pitanje koliko je uopće prisutna legitimitnost zajedničkog </w:t>
      </w:r>
      <w:r w:rsidRPr="004C77A0">
        <w:rPr>
          <w:rFonts w:ascii="Adobe Garamond Pro" w:hAnsi="Adobe Garamond Pro"/>
          <w:iCs/>
          <w:sz w:val="20"/>
          <w:szCs w:val="20"/>
          <w:lang w:val="bs-Latn-BA"/>
        </w:rPr>
        <w:lastRenderedPageBreak/>
        <w:t xml:space="preserve">djelovanja u vanjskopolitičkim relacijama i da li je relevantan stav od svake zemlje članice. I treća stalna odlika jesu </w:t>
      </w:r>
      <w:r w:rsidRPr="004C77A0">
        <w:rPr>
          <w:rFonts w:ascii="Adobe Garamond Pro" w:hAnsi="Adobe Garamond Pro"/>
          <w:i/>
          <w:sz w:val="20"/>
          <w:szCs w:val="20"/>
          <w:lang w:val="bs-Latn-BA"/>
        </w:rPr>
        <w:t>interesi,</w:t>
      </w:r>
      <w:r w:rsidRPr="004C77A0">
        <w:rPr>
          <w:rFonts w:ascii="Adobe Garamond Pro" w:hAnsi="Adobe Garamond Pro"/>
          <w:iCs/>
          <w:sz w:val="20"/>
          <w:szCs w:val="20"/>
          <w:lang w:val="bs-Latn-BA"/>
        </w:rPr>
        <w:t xml:space="preserve"> odnosno koliko interesi svake zemlje članice odustupaju od zajedničkog interesa utemelje (bar teoretski) vanjske politike.</w:t>
      </w:r>
      <w:r w:rsidRPr="004C77A0">
        <w:rPr>
          <w:rFonts w:ascii="Adobe Garamond Pro" w:hAnsi="Adobe Garamond Pro"/>
          <w:iCs/>
          <w:sz w:val="20"/>
          <w:szCs w:val="20"/>
          <w:vertAlign w:val="superscript"/>
          <w:lang w:val="bs-Latn-BA"/>
        </w:rPr>
        <w:footnoteReference w:id="25"/>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Kroz ove tri odlike možemo posmatrati i položaj BiH u okvirima teoretske postavke vanjskih odnosa Evropske unije. Da li su ti odnosi bazirani na težnji da BiH bude suverena i nezavisna država početkom 1990-tih godina, da li je EU imala dovoljan legitimitet u rješavanju sukoba i uspostavi mira, i koji su zapravo interesi Evropske unije, (političi, ekonomski ili sigurnosni), koji su privlačili zemlje članice da Bosnu i Hercegovinu vide kao stabilnu državu i nakon rata? Pitanja se nameću jer kontekstuliziranje BiH u očima evropskih zemalja i čelnika počelo je preventivno kroz vanjskopolitičku prizmu. Kako je već spomenuto, politka proširenja u novim okvirima Evropske zajednice, još nije otvorena kao značajan instrument u tom periodu. Štaviše, svojim odnosom na insistiranju pregovora produbljivali su krizu koja je već bila okarakterisana kao agresija</w:t>
      </w:r>
      <w:r w:rsidRPr="004C77A0">
        <w:rPr>
          <w:rFonts w:ascii="Adobe Garamond Pro" w:hAnsi="Adobe Garamond Pro"/>
          <w:iCs/>
          <w:sz w:val="20"/>
          <w:szCs w:val="20"/>
          <w:vertAlign w:val="superscript"/>
          <w:lang w:val="bs-Latn-BA"/>
        </w:rPr>
        <w:footnoteReference w:id="26"/>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Postratovska politika kretala se u smjeru stabilizacije Bosne i Hercegovine, očuvanja sigurnosti i mira kroz implementaciju Dejtonskog mirovnog sporazuma. Podrška civilnim programima, održiv povratak i projekti obnove bili su agenda tokom prvih postratovskih godina na području BiH, ali i zemalja regije.</w:t>
      </w:r>
      <w:r w:rsidRPr="004C77A0">
        <w:rPr>
          <w:rFonts w:ascii="Adobe Garamond Pro" w:hAnsi="Adobe Garamond Pro"/>
          <w:iCs/>
          <w:sz w:val="20"/>
          <w:szCs w:val="20"/>
          <w:vertAlign w:val="superscript"/>
          <w:lang w:val="bs-Latn-BA"/>
        </w:rPr>
        <w:footnoteReference w:id="27"/>
      </w:r>
      <w:r w:rsidRPr="004C77A0">
        <w:rPr>
          <w:rFonts w:ascii="Adobe Garamond Pro" w:hAnsi="Adobe Garamond Pro"/>
          <w:iCs/>
          <w:sz w:val="20"/>
          <w:szCs w:val="20"/>
          <w:lang w:val="bs-Latn-BA"/>
        </w:rPr>
        <w:t xml:space="preserve"> 1997. godine Vijeće ministara Evropske unije postavilo je političke i ekonomske uslove za razvoj bilateralnih odnosa. Već tada Bosni i Hercegovini se pruža mogućnost da iskoristi autonomne trgovačke povlastice, a 1998. godine, na osnovu Deklaracije o specijalnim odnosima između Evropske unije i BiH, Konsultativna radna grupa (Consultative Task Force-CTF) je uspostavljena s ciljem osiguravanja tehničke i stručne pomoći u području regulatornog okvira, administracije, i politike.</w:t>
      </w:r>
      <w:r w:rsidRPr="004C77A0">
        <w:rPr>
          <w:rFonts w:ascii="Adobe Garamond Pro" w:hAnsi="Adobe Garamond Pro"/>
          <w:iCs/>
          <w:sz w:val="20"/>
          <w:szCs w:val="20"/>
          <w:vertAlign w:val="superscript"/>
          <w:lang w:val="bs-Latn-BA"/>
        </w:rPr>
        <w:footnoteReference w:id="28"/>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Prije implementiranja doktrine “regionalizma“ Evropska unija je nastojala od 1995. učinit korak dalje od Dejtona. Iako je on osiguravao mir, zbog administrativne komplikovanosti i pravnih komplikacija, uvidjelo se da ne može bit trajno rješenje.</w:t>
      </w:r>
      <w:r w:rsidRPr="004C77A0">
        <w:rPr>
          <w:rFonts w:ascii="Adobe Garamond Pro" w:hAnsi="Adobe Garamond Pro"/>
          <w:iCs/>
          <w:sz w:val="20"/>
          <w:szCs w:val="20"/>
          <w:vertAlign w:val="superscript"/>
          <w:lang w:val="bs-Latn-BA"/>
        </w:rPr>
        <w:footnoteReference w:id="29"/>
      </w:r>
      <w:r w:rsidRPr="004C77A0">
        <w:rPr>
          <w:rFonts w:ascii="Adobe Garamond Pro" w:hAnsi="Adobe Garamond Pro"/>
          <w:iCs/>
          <w:sz w:val="20"/>
          <w:szCs w:val="20"/>
          <w:lang w:val="bs-Latn-BA"/>
        </w:rPr>
        <w:t xml:space="preserve"> BiH je posmatrana kao  zemlja „drugog reda“, u kojoj nacionalna previranja mogu dovesti do novog </w:t>
      </w:r>
      <w:r w:rsidRPr="004C77A0">
        <w:rPr>
          <w:rFonts w:ascii="Adobe Garamond Pro" w:hAnsi="Adobe Garamond Pro"/>
          <w:iCs/>
          <w:sz w:val="20"/>
          <w:szCs w:val="20"/>
          <w:lang w:val="bs-Latn-BA"/>
        </w:rPr>
        <w:lastRenderedPageBreak/>
        <w:t>sukoba. Odlučna da se to ne ponovi, EU će, kako ćemo to vidjeti kasnije, revidirati svoju zajedničku sigurnosnu i vanjsku politiku. Drugi cilj joj je bio da se američki utjecaj, odnosno utjecaj međunarodne zajednice svede na što manji nivo, jer nastojala je sebe postaviti kao implementatora bosanskohercegovačkog razvoja i udaljavanje od ratne prošlosti. Zapravo, iskustvo BiH je prislilo EU da ukloni nedostatke svoje vanjskopolitičke vizije.</w:t>
      </w:r>
      <w:r w:rsidRPr="004C77A0">
        <w:rPr>
          <w:rFonts w:ascii="Adobe Garamond Pro" w:hAnsi="Adobe Garamond Pro"/>
          <w:iCs/>
          <w:sz w:val="20"/>
          <w:szCs w:val="20"/>
          <w:vertAlign w:val="superscript"/>
          <w:lang w:val="bs-Latn-BA"/>
        </w:rPr>
        <w:footnoteReference w:id="30"/>
      </w:r>
      <w:r w:rsidRPr="004C77A0">
        <w:rPr>
          <w:rFonts w:ascii="Adobe Garamond Pro" w:hAnsi="Adobe Garamond Pro"/>
          <w:iCs/>
          <w:sz w:val="20"/>
          <w:szCs w:val="20"/>
          <w:lang w:val="bs-Latn-BA"/>
        </w:rPr>
        <w:t xml:space="preserve"> U tom kontekstu trebamo razumjevati promjenu EU u pristupu kako BiH , tako i regionu na tragu novog stoljeća. Iz koncepcije „otuđenosti regiona“ do politike obuzdavanja, koja se zapravo transformisala u politiku integracija, EU je uvidjela da strateška korist regije u  okviru njenih granica, mogla bi ne samo očuvati stabilizaciju, već i pojačati svoj geopolitčki značaj, u odnosu na druge globalne aktere, naročito SAD, NATO-a a kasnije i Rusije.</w:t>
      </w:r>
    </w:p>
    <w:p w:rsidR="004C77A0" w:rsidRPr="004C77A0" w:rsidRDefault="004C77A0" w:rsidP="004C77A0">
      <w:pPr>
        <w:spacing w:after="0" w:line="240" w:lineRule="auto"/>
        <w:ind w:firstLine="720"/>
        <w:jc w:val="both"/>
        <w:rPr>
          <w:rFonts w:ascii="Adobe Garamond Pro" w:hAnsi="Adobe Garamond Pro"/>
          <w:b/>
          <w:bCs/>
          <w:iCs/>
          <w:sz w:val="20"/>
          <w:szCs w:val="20"/>
          <w:lang w:val="bs-Latn-BA"/>
        </w:rPr>
      </w:pPr>
    </w:p>
    <w:p w:rsidR="004C77A0" w:rsidRPr="00E522D3" w:rsidRDefault="004C77A0" w:rsidP="00E522D3">
      <w:pPr>
        <w:spacing w:after="0" w:line="240" w:lineRule="auto"/>
        <w:jc w:val="both"/>
        <w:rPr>
          <w:rFonts w:ascii="Adobe Garamond Pro" w:hAnsi="Adobe Garamond Pro"/>
          <w:b/>
          <w:bCs/>
          <w:iCs/>
          <w:lang w:val="bs-Latn-BA"/>
        </w:rPr>
      </w:pPr>
      <w:r w:rsidRPr="00E522D3">
        <w:rPr>
          <w:rFonts w:ascii="Adobe Garamond Pro" w:hAnsi="Adobe Garamond Pro"/>
          <w:b/>
          <w:bCs/>
          <w:iCs/>
          <w:lang w:val="bs-Latn-BA"/>
        </w:rPr>
        <w:t>Regionalna politika EU i BiH</w:t>
      </w:r>
    </w:p>
    <w:p w:rsidR="00E522D3" w:rsidRPr="004C77A0" w:rsidRDefault="00E522D3" w:rsidP="00E522D3">
      <w:pPr>
        <w:spacing w:after="0" w:line="240" w:lineRule="auto"/>
        <w:jc w:val="both"/>
        <w:rPr>
          <w:rFonts w:ascii="Adobe Garamond Pro" w:hAnsi="Adobe Garamond Pro"/>
          <w:b/>
          <w:bCs/>
          <w:iCs/>
          <w:sz w:val="20"/>
          <w:szCs w:val="20"/>
          <w:lang w:val="bs-Latn-BA"/>
        </w:rPr>
      </w:pPr>
    </w:p>
    <w:p w:rsid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Zaokret iz posratovske stabilizacije u politiku integracija, odnosno proširenja, Evropskoj uniji dalo je dvije značajne prednosti u odnosu na politiku rješavanja konflikata. Prvo, percepcija Zapadnog Balkana kao pitanje proširenja, evropskim institucijama je omogućilo da smanje nejasnoće i preferiranja različitih politika jedne nad drugom.</w:t>
      </w:r>
      <w:r w:rsidRPr="004C77A0">
        <w:rPr>
          <w:rFonts w:ascii="Adobe Garamond Pro" w:hAnsi="Adobe Garamond Pro"/>
          <w:iCs/>
          <w:sz w:val="20"/>
          <w:szCs w:val="20"/>
          <w:vertAlign w:val="superscript"/>
          <w:lang w:val="bs-Latn-BA"/>
        </w:rPr>
        <w:footnoteReference w:id="31"/>
      </w:r>
      <w:r w:rsidRPr="004C77A0">
        <w:rPr>
          <w:rFonts w:ascii="Adobe Garamond Pro" w:hAnsi="Adobe Garamond Pro"/>
          <w:iCs/>
          <w:sz w:val="20"/>
          <w:szCs w:val="20"/>
          <w:lang w:val="bs-Latn-BA"/>
        </w:rPr>
        <w:t xml:space="preserve"> Drugo, mogućnost pridruživanja dalo je EU prliku da ojača svoje političko uslovljavanje.</w:t>
      </w:r>
      <w:r w:rsidRPr="004C77A0">
        <w:rPr>
          <w:rFonts w:ascii="Adobe Garamond Pro" w:hAnsi="Adobe Garamond Pro"/>
          <w:iCs/>
          <w:sz w:val="20"/>
          <w:szCs w:val="20"/>
          <w:vertAlign w:val="superscript"/>
          <w:lang w:val="bs-Latn-BA"/>
        </w:rPr>
        <w:footnoteReference w:id="32"/>
      </w:r>
      <w:r w:rsidRPr="004C77A0">
        <w:rPr>
          <w:rFonts w:ascii="Adobe Garamond Pro" w:hAnsi="Adobe Garamond Pro"/>
          <w:iCs/>
          <w:sz w:val="20"/>
          <w:szCs w:val="20"/>
          <w:lang w:val="bs-Latn-BA"/>
        </w:rPr>
        <w:t xml:space="preserve"> Ovo ne samo da će dati veći kredibilitet EU u narednom periodu u ovom regionu, već će općenito kreirati nove paradigme za njenu kasnije definisanu zajedničku sigurnosnu i vanjsku politiku kroz Lisabonski ugovor.</w:t>
      </w:r>
    </w:p>
    <w:p w:rsidR="00E522D3" w:rsidRPr="004C77A0"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
          <w:sz w:val="20"/>
          <w:szCs w:val="20"/>
          <w:lang w:val="bs-Latn-BA"/>
        </w:rPr>
      </w:pPr>
      <w:r w:rsidRPr="004C77A0">
        <w:rPr>
          <w:rFonts w:ascii="Adobe Garamond Pro" w:hAnsi="Adobe Garamond Pro"/>
          <w:iCs/>
          <w:sz w:val="20"/>
          <w:szCs w:val="20"/>
          <w:lang w:val="bs-Latn-BA"/>
        </w:rPr>
        <w:t xml:space="preserve">Fokus nakon dešavanja na Kosovu, usmjeren je na cjelokupnu jugostočnu Evropu. Region koji se posmatra kao područje zemalja u tranziciji i postkomunističkih društava, u percepciji Evropske unije sagledan je kao strateški dio Evrope, sa značajnim granicama na istoku. Regionalne inicijative, koje će uspostaviti pobližu saradnju između zemalja ove regije, posebno zemalja Zapadnog Balkana, dat će određenu mjeru stabilnosti u poimanju ekonomske saradnje a posebno saradnje u suočavanju sa tranzicijom, recesijom i jačanju procesa demokratizacije. U općem pogledu, politika Evropske unije, Evrope u institucionalnom smislu, bazirala se na tri pretpostavke u definisanju svog odnosa prema jugoistočnom dijelu, kako bi omogućila zemljama jugoistočne Evrope da se nađu na putu ka uurointegracijama: </w:t>
      </w:r>
      <w:r w:rsidRPr="004C77A0">
        <w:rPr>
          <w:rFonts w:ascii="Adobe Garamond Pro" w:hAnsi="Adobe Garamond Pro"/>
          <w:i/>
          <w:sz w:val="20"/>
          <w:szCs w:val="20"/>
          <w:lang w:val="bs-Latn-BA"/>
        </w:rPr>
        <w:t>uspostava političke stabilnosti; omogućavanje ekonomskg rasta; razvoj društvene kohezije</w:t>
      </w:r>
      <w:r w:rsidR="00E522D3">
        <w:rPr>
          <w:rFonts w:ascii="Adobe Garamond Pro" w:hAnsi="Adobe Garamond Pro"/>
          <w:i/>
          <w:sz w:val="20"/>
          <w:szCs w:val="20"/>
          <w:lang w:val="bs-Latn-BA"/>
        </w:rPr>
        <w:t>.</w:t>
      </w:r>
      <w:r w:rsidRPr="004C77A0">
        <w:rPr>
          <w:rFonts w:ascii="Adobe Garamond Pro" w:hAnsi="Adobe Garamond Pro"/>
          <w:iCs/>
          <w:sz w:val="20"/>
          <w:szCs w:val="20"/>
          <w:vertAlign w:val="superscript"/>
          <w:lang w:val="bs-Latn-BA"/>
        </w:rPr>
        <w:footnoteReference w:id="33"/>
      </w: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lastRenderedPageBreak/>
        <w:t>Od Roajmonskog sporazuma, 1996. godine preko Centralno-evropske inicijative, Procesa za saradnju zemalja Jugoistočne Evrope (SEECP), Pakta stabilnosti za Jugoistočnu Evropu, do Procesa stabilizacije i pridruživanja, Bosna i Hercegovina je bila značajno uključena u svaku od pomenutih regionalnih incijativa. Incijative su najčešće imale za cilj unapređenje demokratskog procesa, vladavine prava, reforme sudstva i sigurnosnih struktura, a sve je to potpomognuto finansijskim fondovima.</w:t>
      </w:r>
      <w:r w:rsidRPr="004C77A0">
        <w:rPr>
          <w:rFonts w:ascii="Adobe Garamond Pro" w:hAnsi="Adobe Garamond Pro"/>
          <w:iCs/>
          <w:sz w:val="20"/>
          <w:szCs w:val="20"/>
          <w:vertAlign w:val="superscript"/>
          <w:lang w:val="bs-Latn-BA"/>
        </w:rPr>
        <w:footnoteReference w:id="34"/>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Proces stabilizacije i pridruživanja je također, strateški pristup Evropske unije zemljama Zapadnog Balkana. Koliko god da su izvukle „pouku“ iz dešavanja 90-tih godina, toliko su nastojale da svoju novopromjenjenu politiku sprovedu na način da sigurnost bude top agenda. Kroz sporazum o stabilizaciji i prudruživanju EU je i donijela političku odluku da se uslovi za pristup moraju ispuniti od strane zemalja Zapadnog Balkana, i da će finansijska pomoć biti uskraćena ukoliko se ne dođe do političkih dogovora unuatr država Procesa, posebno BiH, Hrvatske i Srbije. Odredbe o stabilizaciji (političkoj, sigurnosnoj i ekonomskoj) te regionalnoj saradnji pokazatelj su zaokreta politike pristupa EU zapadnom Balkanu koji je 90-tih predstavljao velik izazov za međunarodnu zajednicu.</w:t>
      </w:r>
      <w:r w:rsidRPr="004C77A0">
        <w:rPr>
          <w:rFonts w:ascii="Adobe Garamond Pro" w:hAnsi="Adobe Garamond Pro"/>
          <w:iCs/>
          <w:sz w:val="20"/>
          <w:szCs w:val="20"/>
          <w:vertAlign w:val="superscript"/>
          <w:lang w:val="bs-Latn-BA"/>
        </w:rPr>
        <w:footnoteReference w:id="35"/>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Možemo istaći da regionalna politika Evropske unije u BiH ima ključnu ulogu u daljem nastojanju priključivanja Uniji. Upravo je incijativa za institucionalno jačanje državnih aparata omogućila pokretanje reformi u BiH, (kao npr. ujedinjavanje oružanih snaga), ali i još jedan značajan segmenat – ekonomski razvoj. Na incijativu EU 2006. godine uspostavljena je CEFTA, (Central European Free Trade Area), što je bila aspiracija da se uspostavi regionalna slobodna tržišna saradnja između Hrvatske Bosne i Hercegovine, Srbije, Crne Gore, Albanije i Makedonije. CEFTA se pokazala uspješnim projektom u određenom pogledu, jer su pomenute zemlje ostvarile određen ekonomski pomak u svom izvozu proizvoda.</w:t>
      </w:r>
      <w:r w:rsidRPr="004C77A0">
        <w:rPr>
          <w:rFonts w:ascii="Adobe Garamond Pro" w:hAnsi="Adobe Garamond Pro"/>
          <w:iCs/>
          <w:sz w:val="20"/>
          <w:szCs w:val="20"/>
          <w:vertAlign w:val="superscript"/>
          <w:lang w:val="bs-Latn-BA"/>
        </w:rPr>
        <w:footnoteReference w:id="36"/>
      </w:r>
      <w:r w:rsidRPr="004C77A0">
        <w:rPr>
          <w:rFonts w:ascii="Adobe Garamond Pro" w:hAnsi="Adobe Garamond Pro"/>
          <w:iCs/>
          <w:sz w:val="20"/>
          <w:szCs w:val="20"/>
          <w:lang w:val="bs-Latn-BA"/>
        </w:rPr>
        <w:t xml:space="preserve"> Ne samo to regionalni pristup je i omogućio da se zemlje Zapadnog Balkana jače suoče sa organizovanim kriminalom, kroz međusobnu policijsku i odbrambenu saradnju. Taj pritisak nije bez razloga, jer ulaskom zemalja Zapdnog Balkana u okvire EU, omogućio bi Uniji veću kontrolu nad suzbijanjem i ilegalne trgovine. </w:t>
      </w:r>
    </w:p>
    <w:p w:rsidR="004C77A0" w:rsidRPr="004C77A0" w:rsidRDefault="004C77A0" w:rsidP="004C77A0">
      <w:pPr>
        <w:spacing w:after="0" w:line="240" w:lineRule="auto"/>
        <w:ind w:firstLine="720"/>
        <w:jc w:val="both"/>
        <w:rPr>
          <w:rFonts w:ascii="Adobe Garamond Pro" w:hAnsi="Adobe Garamond Pro"/>
          <w:iCs/>
          <w:sz w:val="20"/>
          <w:szCs w:val="20"/>
          <w:lang w:val="bs-Latn-BA"/>
        </w:rPr>
      </w:pPr>
    </w:p>
    <w:p w:rsidR="004C77A0" w:rsidRPr="00E522D3" w:rsidRDefault="004C77A0" w:rsidP="00E522D3">
      <w:pPr>
        <w:spacing w:after="0" w:line="240" w:lineRule="auto"/>
        <w:jc w:val="both"/>
        <w:rPr>
          <w:rFonts w:ascii="Adobe Garamond Pro" w:hAnsi="Adobe Garamond Pro"/>
          <w:b/>
          <w:bCs/>
          <w:iCs/>
          <w:lang w:val="bs-Latn-BA"/>
        </w:rPr>
      </w:pPr>
      <w:r w:rsidRPr="00E522D3">
        <w:rPr>
          <w:rFonts w:ascii="Adobe Garamond Pro" w:hAnsi="Adobe Garamond Pro"/>
          <w:b/>
          <w:bCs/>
          <w:iCs/>
          <w:lang w:val="bs-Latn-BA"/>
        </w:rPr>
        <w:t>Ograničenja regionalnog pristupa</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Iako regionalni prisup ima mnogo bolji učinak nego posmatranje BiH kroz prizmu vanjskopolitičkog interesa ili zone, određenja organičenja su ipak prisutna. Strategija </w:t>
      </w:r>
      <w:r w:rsidRPr="004C77A0">
        <w:rPr>
          <w:rFonts w:ascii="Adobe Garamond Pro" w:hAnsi="Adobe Garamond Pro"/>
          <w:iCs/>
          <w:sz w:val="20"/>
          <w:szCs w:val="20"/>
          <w:lang w:val="bs-Latn-BA"/>
        </w:rPr>
        <w:lastRenderedPageBreak/>
        <w:t>integracije jeste najadekvatnija mjera u pristupu zemljama Zapadnog Balkana, posebno BiH, kojoj je potrebna vanjska pomoć na tom pogledu, ali činjenice nas upućuju da problem koji se ovdje javlja jeste to da se EU, u vojnom pogledu, i dalje uveliko oslanja na NATO. Evropska sigurnost i odbrana u suštini institucionalno nije dovoljno određena i još uvijek takav kapacitet pronalazi u NATO-u, koji se druge strane oslanja na američki vojni doprinos. Čak i da EU nastoji razviti sopstveni vojni aparat to bi, prema nekim autorima, bilo izuzetno teško ostvariti zbog ciljeva SAD-a i Velike Britanije kao strateških partnera.</w:t>
      </w:r>
      <w:r w:rsidRPr="004C77A0">
        <w:rPr>
          <w:rFonts w:ascii="Adobe Garamond Pro" w:hAnsi="Adobe Garamond Pro"/>
          <w:iCs/>
          <w:sz w:val="20"/>
          <w:szCs w:val="20"/>
          <w:vertAlign w:val="superscript"/>
          <w:lang w:val="bs-Latn-BA"/>
        </w:rPr>
        <w:footnoteReference w:id="37"/>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Iako Dejtonski mirovni sporazum se nalazi u svojo 19. godini postojanja, Evropa nije posve sigurna da bi mogla spriječiti vojni sukob. U političkom smislu, svoje kapacitete smatra dovoljno jakim, ali u okvirnom djelovanju, akcija bi opet izostala jer zavisi (vojno) uveliko od Amerike, što je najbolje pokazao period tokom implementacije američkog „rata protiv terorizma“. Postavlja se pitanje, da li je onda garantirana evropska sigurnost nad Zapadnim Balkanom samo mit? S druge strane, postoji mišljenje da ulazak BiH u NATO osnažio bi razvojne kapacitete i usmjerio bh građanstvo ka evroatlanskim integracijama,</w:t>
      </w:r>
      <w:r w:rsidRPr="004C77A0">
        <w:rPr>
          <w:rFonts w:ascii="Adobe Garamond Pro" w:hAnsi="Adobe Garamond Pro"/>
          <w:iCs/>
          <w:sz w:val="20"/>
          <w:szCs w:val="20"/>
          <w:vertAlign w:val="superscript"/>
          <w:lang w:val="bs-Latn-BA"/>
        </w:rPr>
        <w:footnoteReference w:id="38"/>
      </w:r>
      <w:r w:rsidRPr="004C77A0">
        <w:rPr>
          <w:rFonts w:ascii="Adobe Garamond Pro" w:hAnsi="Adobe Garamond Pro"/>
          <w:iCs/>
          <w:sz w:val="20"/>
          <w:szCs w:val="20"/>
          <w:lang w:val="bs-Latn-BA"/>
        </w:rPr>
        <w:t xml:space="preserve"> ali da akcioni plan za članstvo (MAP) mora pokrenuti BiH iznutra. Generalni sekrator NATO-a Rasmussen istakao je ovo prilikom posjete BiH, te iznova ponavljao nužnost reformi, ali i političkog koncezusa.</w:t>
      </w:r>
      <w:r w:rsidRPr="004C77A0">
        <w:rPr>
          <w:rFonts w:ascii="Adobe Garamond Pro" w:hAnsi="Adobe Garamond Pro"/>
          <w:iCs/>
          <w:sz w:val="20"/>
          <w:szCs w:val="20"/>
          <w:vertAlign w:val="superscript"/>
          <w:lang w:val="bs-Latn-BA"/>
        </w:rPr>
        <w:footnoteReference w:id="39"/>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Drugi problem, koji se javlja jeste da u određenim slučajevima dolazi do prenaglašenja birokracije. Koliko god je fokus EU na bosanskohercegovačkim političkim liderima, toliko bi zapravo više trebao biti na stanovništvu i civilnom sektoru. Iako se nevladine organizacije imaju priliku prijaviti na određene fondove, odnosno programe finansijske pomoći, često se zanemaruje poenta civilnog društva. Prenagalašenje demokratije, odnosno vladavine prava BiH stavlja u poziciju teoretskog činovnika demokratkih principa.</w:t>
      </w:r>
      <w:r w:rsidRPr="004C77A0">
        <w:rPr>
          <w:rFonts w:ascii="Adobe Garamond Pro" w:hAnsi="Adobe Garamond Pro"/>
          <w:iCs/>
          <w:sz w:val="20"/>
          <w:szCs w:val="20"/>
          <w:vertAlign w:val="superscript"/>
          <w:lang w:val="bs-Latn-BA"/>
        </w:rPr>
        <w:footnoteReference w:id="40"/>
      </w:r>
      <w:r w:rsidRPr="004C77A0">
        <w:rPr>
          <w:rFonts w:ascii="Adobe Garamond Pro" w:hAnsi="Adobe Garamond Pro"/>
          <w:iCs/>
          <w:sz w:val="20"/>
          <w:szCs w:val="20"/>
          <w:lang w:val="bs-Latn-BA"/>
        </w:rPr>
        <w:t xml:space="preserve"> No, pokazatelji govore da se prava u BiH uveliko narušavaju, a presuda Sejdić-Finci dobila je međunarodni karakter u odnosima između EU i BiH, kao simbol grubog kršenja ljudih prava, posebno prava da nacionalne manjine učestvuju u izbornom procesu. Zanemarivanje unutrašnjih domaćih izazova, doveo bi do neuspjeha političkih reformi na kojima  insistira EU, a BiH bi još jednom potvrdila status „neuspjele države“ (</w:t>
      </w:r>
      <w:r w:rsidRPr="004C77A0">
        <w:rPr>
          <w:rFonts w:ascii="Adobe Garamond Pro" w:hAnsi="Adobe Garamond Pro"/>
          <w:i/>
          <w:sz w:val="20"/>
          <w:szCs w:val="20"/>
          <w:lang w:val="bs-Latn-BA"/>
        </w:rPr>
        <w:t>Failed state).</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Zbog tog regionalnog, odnosno integracijskog pristupa Evropska unija mora provesti kroz politiku fokusiranja na građanstvo, a ne samo na političke aktere u vlasti. Nedavna posjeta Visoke predstavnice Evropske unije za vanjsku politiku i sigurnost Catherine </w:t>
      </w:r>
      <w:r w:rsidRPr="004C77A0">
        <w:rPr>
          <w:rFonts w:ascii="Adobe Garamond Pro" w:hAnsi="Adobe Garamond Pro"/>
          <w:iCs/>
          <w:sz w:val="20"/>
          <w:szCs w:val="20"/>
          <w:lang w:val="bs-Latn-BA"/>
        </w:rPr>
        <w:lastRenderedPageBreak/>
        <w:t>Ashton Bosni i Hercegovini pokazala je da EU iznova ponavlja priču o nužnosti „reformi kod kuće“. Ponovo su istaknute tri stvari: dogovor političkih lidera, fokus na ekonomska pitanja i spremnost EU da pomogne.</w:t>
      </w:r>
      <w:r w:rsidRPr="004C77A0">
        <w:rPr>
          <w:rFonts w:ascii="Adobe Garamond Pro" w:hAnsi="Adobe Garamond Pro"/>
          <w:iCs/>
          <w:sz w:val="20"/>
          <w:szCs w:val="20"/>
          <w:vertAlign w:val="superscript"/>
          <w:lang w:val="bs-Latn-BA"/>
        </w:rPr>
        <w:footnoteReference w:id="41"/>
      </w:r>
      <w:r w:rsidRPr="004C77A0">
        <w:rPr>
          <w:rFonts w:ascii="Adobe Garamond Pro" w:hAnsi="Adobe Garamond Pro"/>
          <w:iCs/>
          <w:sz w:val="20"/>
          <w:szCs w:val="20"/>
          <w:lang w:val="bs-Latn-BA"/>
        </w:rPr>
        <w:t xml:space="preserve"> No, ovo su već ponovljene formule, i ostaje izuzetno pitanje da li će uslovi i pomoći koje EU postavlja pred bh lidere omogućiti razvoj države i regionalnih institucija koje jačanju odnose BiH sa drugim državama regiona, uveliko naprednijim u približavanju EU integracijama.</w:t>
      </w:r>
    </w:p>
    <w:p w:rsidR="004C77A0" w:rsidRPr="004C77A0" w:rsidRDefault="004C77A0" w:rsidP="004C77A0">
      <w:pPr>
        <w:spacing w:after="0" w:line="240" w:lineRule="auto"/>
        <w:ind w:firstLine="720"/>
        <w:jc w:val="both"/>
        <w:rPr>
          <w:rFonts w:ascii="Adobe Garamond Pro" w:hAnsi="Adobe Garamond Pro"/>
          <w:b/>
          <w:bCs/>
          <w:iCs/>
          <w:sz w:val="20"/>
          <w:szCs w:val="20"/>
          <w:lang w:val="bs-Latn-BA"/>
        </w:rPr>
      </w:pPr>
    </w:p>
    <w:p w:rsidR="004C77A0" w:rsidRPr="00E522D3" w:rsidRDefault="004C77A0" w:rsidP="00E522D3">
      <w:pPr>
        <w:spacing w:after="0" w:line="240" w:lineRule="auto"/>
        <w:jc w:val="both"/>
        <w:rPr>
          <w:rFonts w:ascii="Adobe Garamond Pro" w:hAnsi="Adobe Garamond Pro"/>
          <w:b/>
          <w:bCs/>
          <w:iCs/>
          <w:lang w:val="bs-Latn-BA"/>
        </w:rPr>
      </w:pPr>
      <w:r w:rsidRPr="00E522D3">
        <w:rPr>
          <w:rFonts w:ascii="Adobe Garamond Pro" w:hAnsi="Adobe Garamond Pro"/>
          <w:b/>
          <w:bCs/>
          <w:iCs/>
          <w:lang w:val="bs-Latn-BA"/>
        </w:rPr>
        <w:t>Okviri za budućnost</w:t>
      </w:r>
    </w:p>
    <w:p w:rsidR="00E522D3" w:rsidRPr="004C77A0" w:rsidRDefault="00E522D3" w:rsidP="00E522D3">
      <w:pPr>
        <w:spacing w:after="0" w:line="240" w:lineRule="auto"/>
        <w:jc w:val="both"/>
        <w:rPr>
          <w:rFonts w:ascii="Adobe Garamond Pro" w:hAnsi="Adobe Garamond Pro"/>
          <w:b/>
          <w:bCs/>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Nakon proširenja 2007. godine, tj. ulaska u EU Rumunije i Bugarske, pojavio se problem poznat kao „zamor od proširenja EU“. Kod „velikih“ članica, brzo širenje na istok Evrope pokazivalo je opasnost pojave nekoncenzusa oko donošenja političkih odluka sa što većim brojem članica. Evropska komisija je tim povodom usvojila određene dokumente u kojima se nastojala pružiti direktiva i diskusiju o kapacitetima daljeg proširivanja.</w:t>
      </w:r>
      <w:r w:rsidRPr="004C77A0">
        <w:rPr>
          <w:rFonts w:ascii="Adobe Garamond Pro" w:hAnsi="Adobe Garamond Pro"/>
          <w:iCs/>
          <w:sz w:val="20"/>
          <w:szCs w:val="20"/>
          <w:vertAlign w:val="superscript"/>
          <w:lang w:val="bs-Latn-BA"/>
        </w:rPr>
        <w:footnoteReference w:id="42"/>
      </w:r>
      <w:r w:rsidRPr="004C77A0">
        <w:rPr>
          <w:rFonts w:ascii="Adobe Garamond Pro" w:hAnsi="Adobe Garamond Pro"/>
          <w:iCs/>
          <w:sz w:val="20"/>
          <w:szCs w:val="20"/>
          <w:lang w:val="bs-Latn-BA"/>
        </w:rPr>
        <w:t xml:space="preserve"> Ovaj stav je bio rezultat još jedne realnosti: nekonzistentnost u provođenju reformi kod svih zemalja Zapadnog Balkana. Ekonomske i socijalne razlike bile su značajno vidljive između npr Hrvatske i Makedonije  s jedne strane, i Bosne i Hercegovine i Kosova, s druge strane. Nemogućnost da i pored značajne finansijske pomoći naprave neki značajniji korak, BiH se našla u političkom vakumu različitih pristupa i uzroka zastoja. Tako je između ostalog i jasno definisana terminologija zemlje „kandidata“ i „potencijalnog kadidata“ za Evropsku uniju.</w:t>
      </w:r>
      <w:r w:rsidRPr="004C77A0">
        <w:rPr>
          <w:rFonts w:ascii="Adobe Garamond Pro" w:hAnsi="Adobe Garamond Pro"/>
          <w:iCs/>
          <w:sz w:val="20"/>
          <w:szCs w:val="20"/>
          <w:vertAlign w:val="superscript"/>
          <w:lang w:val="bs-Latn-BA"/>
        </w:rPr>
        <w:footnoteReference w:id="43"/>
      </w:r>
      <w:r w:rsidRPr="004C77A0">
        <w:rPr>
          <w:rFonts w:ascii="Adobe Garamond Pro" w:hAnsi="Adobe Garamond Pro"/>
          <w:iCs/>
          <w:sz w:val="20"/>
          <w:szCs w:val="20"/>
          <w:lang w:val="bs-Latn-BA"/>
        </w:rPr>
        <w:t xml:space="preserve"> Iako je SPP (Sporazum o stabilizaciji i pridruživanju) BiH potpisala, dovedena je u pitanje održivost BiH na putu na Euroatlanskim integracijama zbog složene i nekonkretizirane političke situacije. Shodno onome čemu svjedočimo, i što pogađa segmente bh društva, budućnost BiH kao Evropske države se ne dovodi u pitanje. Ono što jeste diskutabilno, i što sada predstavlja izazov jesu najprije instrumenti provođenja zahtjeva Evropske unije, u prvom pogledu presude Sejdić-Finci koja je jedna od političkih kriterija, te provedba ekonomskih kriterija, a zatim i institucionalna reforma.</w:t>
      </w:r>
      <w:r w:rsidRPr="004C77A0">
        <w:rPr>
          <w:rFonts w:ascii="Adobe Garamond Pro" w:hAnsi="Adobe Garamond Pro"/>
          <w:iCs/>
          <w:sz w:val="20"/>
          <w:szCs w:val="20"/>
          <w:vertAlign w:val="superscript"/>
          <w:lang w:val="bs-Latn-BA"/>
        </w:rPr>
        <w:footnoteReference w:id="44"/>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Različita percepcijska proširenja kod zemalja članica EU mogla bi uticati na dalje priključivanje zemalja Zapadnog Balkana u okvire Evropske unije. Stagnacija Bosne i Hercegovine na tom putu ne doprinosi činjenici da se uslovi i poglavlja </w:t>
      </w:r>
      <w:r w:rsidRPr="004C77A0">
        <w:rPr>
          <w:rFonts w:ascii="Adobe Garamond Pro" w:hAnsi="Adobe Garamond Pro"/>
          <w:i/>
          <w:sz w:val="20"/>
          <w:szCs w:val="20"/>
          <w:lang w:val="bs-Latn-BA"/>
        </w:rPr>
        <w:t xml:space="preserve">acquis-a </w:t>
      </w:r>
      <w:r w:rsidRPr="004C77A0">
        <w:rPr>
          <w:rFonts w:ascii="Adobe Garamond Pro" w:hAnsi="Adobe Garamond Pro"/>
          <w:iCs/>
          <w:sz w:val="20"/>
          <w:szCs w:val="20"/>
          <w:lang w:val="bs-Latn-BA"/>
        </w:rPr>
        <w:t xml:space="preserve">biti opširnija, brojnija i na koncu teža za implementirati. Proces zahtijeva i sagledavanje u međuradnom faktoru. UN, NATO i EU jesu značajni akteri na području Zapadnog Balkana. No, njihova </w:t>
      </w:r>
      <w:r w:rsidRPr="004C77A0">
        <w:rPr>
          <w:rFonts w:ascii="Adobe Garamond Pro" w:hAnsi="Adobe Garamond Pro"/>
          <w:iCs/>
          <w:sz w:val="20"/>
          <w:szCs w:val="20"/>
          <w:lang w:val="bs-Latn-BA"/>
        </w:rPr>
        <w:lastRenderedPageBreak/>
        <w:t>uloga je često na margini legitimiteta, jer ponekad pasivno posmatraju političku situaciju. Bosna i Hercgovina ima predispozicije da bude članica EU, zapravo kao i kod njenih susjeda to je njen jedini put. Problem, koji se javlja u ovom slučaju što sada, a zasigurno i u budućem periodu, građanstvo različito gleda na članstvo u EU. Uzrok jesu dva važna fakta: 1) loše iskustvo sa EU tokom ratnih dešavanja 1992-1995.; 2) današnja pasivnost i nespremnost za veće sankcije političkim akterima pojedinčano, a ne kolektivnom bosanskohercegovačkom društvu. Ipak, članstvo u EU bi bila potvrda, kako za samu EU, pa tako i za međunarodnu zajednicu da je Bosna i Hercegovina postala stabilna i napredna evropska zemlja, i pored poteškoća na koje bi nailazila, uređena po evropskim standarima ojačalilo bi i njene unutrašnje domaće ali i vanjskopolitičke kapacitete.</w:t>
      </w:r>
      <w:r w:rsidRPr="004C77A0">
        <w:rPr>
          <w:rFonts w:ascii="Adobe Garamond Pro" w:hAnsi="Adobe Garamond Pro"/>
          <w:iCs/>
          <w:sz w:val="20"/>
          <w:szCs w:val="20"/>
          <w:vertAlign w:val="superscript"/>
          <w:lang w:val="bs-Latn-BA"/>
        </w:rPr>
        <w:footnoteReference w:id="45"/>
      </w:r>
      <w:r w:rsidRPr="004C77A0">
        <w:rPr>
          <w:rFonts w:ascii="Adobe Garamond Pro" w:hAnsi="Adobe Garamond Pro"/>
          <w:iCs/>
          <w:sz w:val="20"/>
          <w:szCs w:val="20"/>
          <w:lang w:val="bs-Latn-BA"/>
        </w:rPr>
        <w:t xml:space="preserve"> Ne treba zaboraviti niti zanemariti i sve veću ulogu Republike Turske u obnovi brojnih kulturnih i nacionalnih simbola države, te njenu finansijsku pomoć u procesu što potpunijeg ekonomskog razvoja i obrazovanja. Historijske veze koje Turska dijeli sa BiH, nisu samo jedini inicijatori u toj saradnji, već je tu i pitanje prisustva Turske u međunarodnom kontekstu.</w:t>
      </w:r>
    </w:p>
    <w:p w:rsidR="00E522D3" w:rsidRDefault="00E522D3" w:rsidP="00E522D3">
      <w:pPr>
        <w:spacing w:after="0" w:line="240" w:lineRule="auto"/>
        <w:jc w:val="both"/>
        <w:rPr>
          <w:rFonts w:ascii="Adobe Garamond Pro" w:hAnsi="Adobe Garamond Pro"/>
          <w:iCs/>
          <w:sz w:val="20"/>
          <w:szCs w:val="20"/>
          <w:lang w:val="bs-Latn-BA"/>
        </w:rPr>
      </w:pPr>
    </w:p>
    <w:p w:rsidR="004C77A0" w:rsidRPr="00E522D3" w:rsidRDefault="003D399B" w:rsidP="00E522D3">
      <w:pPr>
        <w:spacing w:after="0" w:line="240" w:lineRule="auto"/>
        <w:jc w:val="both"/>
        <w:rPr>
          <w:rFonts w:ascii="Adobe Garamond Pro" w:hAnsi="Adobe Garamond Pro"/>
          <w:b/>
          <w:bCs/>
          <w:iCs/>
          <w:lang w:val="bs-Latn-BA"/>
        </w:rPr>
      </w:pPr>
      <w:r>
        <w:rPr>
          <w:rFonts w:ascii="Adobe Garamond Pro" w:hAnsi="Adobe Garamond Pro"/>
          <w:b/>
          <w:bCs/>
          <w:iCs/>
          <w:lang w:val="bs-Latn-BA"/>
        </w:rPr>
        <w:t>ZAKLJUČAK</w:t>
      </w:r>
    </w:p>
    <w:p w:rsidR="00E522D3" w:rsidRPr="004C77A0" w:rsidRDefault="00E522D3" w:rsidP="00E522D3">
      <w:pPr>
        <w:spacing w:after="0" w:line="240" w:lineRule="auto"/>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Političko učešće Evropske unije u historijskim razvojima Bosne i Hercegovine tokom posljednih 20 godina ne može se posmatrati van konteksta onoga što je BiH bila u Evropi tokom različitih historijskih epoha. Ako bismo krenuli od samog XIV stoljeća BiH je bila uvijek predmet nekog od globalnih aktera, uvijek u nastojanju da se iskoristi njen strateški položaj. XX stoljeće je donijelo mnogo prevrata i različitu percepciju BiH u globalizovanom svijetu, iako rijetko je imala sliku vlastitog političkog imidža, zbog konstantnog prisustva u određenim savezima država (od Austro-ugarske, preko kraljevine Jugoslavije do Socijalističke Jugoslavije). No, njenu ulogu na koncu možemo posmatrati kao stratešku interesnu zonu u kojem globalni akteri je mogu posmatrati kao geopolitčki stožer.</w:t>
      </w:r>
      <w:r w:rsidRPr="004C77A0">
        <w:rPr>
          <w:rFonts w:ascii="Adobe Garamond Pro" w:hAnsi="Adobe Garamond Pro"/>
          <w:iCs/>
          <w:sz w:val="20"/>
          <w:szCs w:val="20"/>
          <w:vertAlign w:val="superscript"/>
          <w:lang w:val="bs-Latn-BA"/>
        </w:rPr>
        <w:footnoteReference w:id="46"/>
      </w:r>
      <w:r w:rsidRPr="004C77A0">
        <w:rPr>
          <w:rFonts w:ascii="Adobe Garamond Pro" w:hAnsi="Adobe Garamond Pro"/>
          <w:iCs/>
          <w:sz w:val="20"/>
          <w:szCs w:val="20"/>
          <w:lang w:val="bs-Latn-BA"/>
        </w:rPr>
        <w:t xml:space="preserve"> U međunarodnim odnosima, Bosna i Hercegovina je najčešće predmet  riče o balkanskim sukobima i genocidu, te o nestabilnoj politčikoj zemlji. Možda činjenica koja se zanemaruje, jeste upravo da je administrativni sistem kojeg danas gledamo kao složen i poprilično suvišan u nekim segmentima, uspostavljen od strane međunarodne zajednice. Da li onda očekivati od iste, da riješi taj problem i nametne rješenja?</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Bosna i Hercegovina, u svom pogledu jeste zemlja u kojoj se prepliću različiti interesi, često nevezani za njenu unutrašnju dinamiku. Ali rješevanje problema zapravo proističe iz njenog unutrašnjeg političkog sistema i lokalnih politčkih aktera. Evidentno je da njena međunarodna uloga nije naročito jaka, te da je više u ulozi posmatrača, nego aktivnog kreatora vanjske politike, no za njenu budućnost potrebna je kreacija političke vizije koja će se znati odnositi sa onim međunarodnim politikama koje se dotiče nje same. Analitički </w:t>
      </w:r>
      <w:r w:rsidRPr="004C77A0">
        <w:rPr>
          <w:rFonts w:ascii="Adobe Garamond Pro" w:hAnsi="Adobe Garamond Pro"/>
          <w:iCs/>
          <w:sz w:val="20"/>
          <w:szCs w:val="20"/>
          <w:lang w:val="bs-Latn-BA"/>
        </w:rPr>
        <w:lastRenderedPageBreak/>
        <w:t>gledano, to jeste prvi osnovni aspekat vanjske politike EU u BiH – političko pozicioniranje države Bosne i Hercegovine u odnosu na vansjkopolitičke relacije koje je stavljaju u krug između svjetskih aktera globalne politike.</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Drugi osnovi aspekat bi bio da regionalni pristup kojeg sprovodi EU u ovom regionu, BiH treba iskoristiti u pogledu finansijske pomoći koja joj se nudi. Ekonomski razvoj je moguć, domaća proizvodnja se može održati kroz reviziju politike domaće potrošnje, koja bi se trebala implementirati na bh tržište. EU jeste u stanju da ponudi ekonomsku pomoć, no suviše oslanjanje na MMF, Svjetsku banku ukazuje da koliko god BiH ima kapaciteta da primi takvu vrstu pomoći, toliko ima nedostatak da održi uloženo kako bi se ostvario veći profit.</w:t>
      </w:r>
    </w:p>
    <w:p w:rsidR="00E522D3" w:rsidRDefault="00E522D3" w:rsidP="004C77A0">
      <w:pPr>
        <w:spacing w:after="0" w:line="240" w:lineRule="auto"/>
        <w:ind w:firstLine="720"/>
        <w:jc w:val="both"/>
        <w:rPr>
          <w:rFonts w:ascii="Adobe Garamond Pro" w:hAnsi="Adobe Garamond Pro"/>
          <w:iCs/>
          <w:sz w:val="20"/>
          <w:szCs w:val="20"/>
          <w:lang w:val="bs-Latn-BA"/>
        </w:rPr>
      </w:pPr>
    </w:p>
    <w:p w:rsidR="004C77A0" w:rsidRPr="004C77A0" w:rsidRDefault="004C77A0" w:rsidP="004C77A0">
      <w:pPr>
        <w:spacing w:after="0" w:line="240" w:lineRule="auto"/>
        <w:ind w:firstLine="720"/>
        <w:jc w:val="both"/>
        <w:rPr>
          <w:rFonts w:ascii="Adobe Garamond Pro" w:hAnsi="Adobe Garamond Pro"/>
          <w:iCs/>
          <w:sz w:val="20"/>
          <w:szCs w:val="20"/>
          <w:lang w:val="bs-Latn-BA"/>
        </w:rPr>
      </w:pPr>
      <w:r w:rsidRPr="004C77A0">
        <w:rPr>
          <w:rFonts w:ascii="Adobe Garamond Pro" w:hAnsi="Adobe Garamond Pro"/>
          <w:iCs/>
          <w:sz w:val="20"/>
          <w:szCs w:val="20"/>
          <w:lang w:val="bs-Latn-BA"/>
        </w:rPr>
        <w:t>Konačno, treći aspekat vanjske politke EU, jeste da Unija želi vidjeti Bosnu i Hercegovinu u svojim pravno-institucionalnim okvirima, ali da neće ni u kom slučaju „moliti“ države da joj se priključe posebno u vremenu kada ideja o „zamoru proširenja“ živi među najjačim njenim članicama. Međutim, i pored toga, EU veličinu i snagu svog kredibiliteta kao efektnog globalnog aktera u međunarodnim tokovima uveliko vidi kroz vođenje što uspješnije politike u ovom regionu, posebno u Bosni i Hercegovini pa shodno tome, ostvarena uspješna budućnost zapadnog Balkana za EU predstavljalo bi i uspješnu budućnost vanjskopolitičke vizije i djelovanja Unije, kao i njene doktrine regionalizma.</w:t>
      </w:r>
    </w:p>
    <w:p w:rsidR="004C77A0" w:rsidRPr="004C77A0" w:rsidRDefault="004C77A0" w:rsidP="004C77A0">
      <w:pPr>
        <w:spacing w:after="0" w:line="240" w:lineRule="auto"/>
        <w:ind w:firstLine="720"/>
        <w:jc w:val="both"/>
        <w:rPr>
          <w:rFonts w:ascii="Adobe Garamond Pro" w:hAnsi="Adobe Garamond Pro"/>
          <w:iCs/>
          <w:sz w:val="20"/>
          <w:szCs w:val="20"/>
          <w:lang w:val="bs-Latn-BA"/>
        </w:rPr>
      </w:pPr>
    </w:p>
    <w:p w:rsidR="004C77A0" w:rsidRPr="00E522D3" w:rsidRDefault="00E522D3" w:rsidP="00E522D3">
      <w:pPr>
        <w:spacing w:after="0" w:line="240" w:lineRule="auto"/>
        <w:jc w:val="both"/>
        <w:rPr>
          <w:rFonts w:ascii="Adobe Garamond Pro" w:hAnsi="Adobe Garamond Pro"/>
          <w:iCs/>
          <w:lang w:val="bs-Latn-BA"/>
        </w:rPr>
      </w:pPr>
      <w:r w:rsidRPr="00E522D3">
        <w:rPr>
          <w:rFonts w:ascii="Adobe Garamond Pro" w:hAnsi="Adobe Garamond Pro"/>
          <w:b/>
          <w:bCs/>
          <w:iCs/>
          <w:lang w:val="bs-Latn-BA"/>
        </w:rPr>
        <w:t>LITERATURA</w:t>
      </w:r>
    </w:p>
    <w:p w:rsidR="004C77A0" w:rsidRPr="004C77A0" w:rsidRDefault="004C77A0" w:rsidP="004C77A0">
      <w:pPr>
        <w:spacing w:after="0" w:line="240" w:lineRule="auto"/>
        <w:ind w:firstLine="720"/>
        <w:jc w:val="both"/>
        <w:rPr>
          <w:rFonts w:ascii="Adobe Garamond Pro" w:hAnsi="Adobe Garamond Pro"/>
          <w:b/>
          <w:bCs/>
          <w:iCs/>
          <w:sz w:val="20"/>
          <w:szCs w:val="20"/>
          <w:lang w:val="bs-Latn-BA"/>
        </w:rPr>
      </w:pP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A. Jarstad and T. D. Sisk (urednici) (2008), </w:t>
      </w:r>
      <w:r w:rsidRPr="004C77A0">
        <w:rPr>
          <w:rFonts w:ascii="Adobe Garamond Pro" w:hAnsi="Adobe Garamond Pro"/>
          <w:i/>
          <w:sz w:val="20"/>
          <w:szCs w:val="20"/>
          <w:lang w:val="bs-Latn-BA"/>
        </w:rPr>
        <w:t>From War to Democracy: Dilemmas of Peacebuilding</w:t>
      </w:r>
      <w:r w:rsidRPr="004C77A0">
        <w:rPr>
          <w:rFonts w:ascii="Adobe Garamond Pro" w:hAnsi="Adobe Garamond Pro"/>
          <w:iCs/>
          <w:sz w:val="20"/>
          <w:szCs w:val="20"/>
          <w:lang w:val="bs-Latn-BA"/>
        </w:rPr>
        <w:t>, Cambridge University Press, Cambridge</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Begić, Kasim (1997), </w:t>
      </w:r>
      <w:r w:rsidRPr="004C77A0">
        <w:rPr>
          <w:rFonts w:ascii="Adobe Garamond Pro" w:hAnsi="Adobe Garamond Pro"/>
          <w:i/>
          <w:sz w:val="20"/>
          <w:szCs w:val="20"/>
          <w:lang w:val="bs-Latn-BA"/>
        </w:rPr>
        <w:t>Bosna i Hercegovina: od Vanceove misije do Daytonskog sporazuma</w:t>
      </w:r>
      <w:r w:rsidRPr="004C77A0">
        <w:rPr>
          <w:rFonts w:ascii="Adobe Garamond Pro" w:hAnsi="Adobe Garamond Pro"/>
          <w:iCs/>
          <w:sz w:val="20"/>
          <w:szCs w:val="20"/>
          <w:lang w:val="bs-Latn-BA"/>
        </w:rPr>
        <w:t>,  Bosanska knjiga, Sarajevo</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Belloni Roberto (2009), „European Integration and the Western Balkans: Lessons, Prospects, and Limits“, </w:t>
      </w:r>
      <w:r w:rsidRPr="004C77A0">
        <w:rPr>
          <w:rFonts w:ascii="Adobe Garamond Pro" w:hAnsi="Adobe Garamond Pro"/>
          <w:i/>
          <w:sz w:val="20"/>
          <w:szCs w:val="20"/>
          <w:lang w:val="bs-Latn-BA"/>
        </w:rPr>
        <w:t>Journal of Balkan and Near Eastern Studies</w:t>
      </w:r>
      <w:r w:rsidRPr="004C77A0">
        <w:rPr>
          <w:rFonts w:ascii="Adobe Garamond Pro" w:hAnsi="Adobe Garamond Pro"/>
          <w:iCs/>
          <w:sz w:val="20"/>
          <w:szCs w:val="20"/>
          <w:lang w:val="bs-Latn-BA"/>
        </w:rPr>
        <w:t>, Volume 11, Issue 3</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Belloni, Roberto (2007), </w:t>
      </w:r>
      <w:r w:rsidRPr="004C77A0">
        <w:rPr>
          <w:rFonts w:ascii="Adobe Garamond Pro" w:hAnsi="Adobe Garamond Pro"/>
          <w:i/>
          <w:sz w:val="20"/>
          <w:szCs w:val="20"/>
          <w:lang w:val="bs-Latn-BA"/>
        </w:rPr>
        <w:t xml:space="preserve">State Building and International Intervention in Bosnia, </w:t>
      </w:r>
      <w:r w:rsidRPr="004C77A0">
        <w:rPr>
          <w:rFonts w:ascii="Adobe Garamond Pro" w:hAnsi="Adobe Garamond Pro"/>
          <w:iCs/>
          <w:sz w:val="20"/>
          <w:szCs w:val="20"/>
          <w:lang w:val="bs-Latn-BA"/>
        </w:rPr>
        <w:t xml:space="preserve">Routledge, London and New York. </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Ben Tonra, Thomas Christiansen (priređivači) (2004), </w:t>
      </w:r>
      <w:r w:rsidRPr="004C77A0">
        <w:rPr>
          <w:rFonts w:ascii="Adobe Garamond Pro" w:hAnsi="Adobe Garamond Pro"/>
          <w:i/>
          <w:sz w:val="20"/>
          <w:szCs w:val="20"/>
          <w:lang w:val="bs-Latn-BA"/>
        </w:rPr>
        <w:t>Rethinking European Union Foreign Policy,</w:t>
      </w:r>
      <w:r w:rsidRPr="004C77A0">
        <w:rPr>
          <w:rFonts w:ascii="Adobe Garamond Pro" w:hAnsi="Adobe Garamond Pro"/>
          <w:iCs/>
          <w:sz w:val="20"/>
          <w:szCs w:val="20"/>
          <w:lang w:val="bs-Latn-BA"/>
        </w:rPr>
        <w:t xml:space="preserve"> Manchester University Press</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Braniff, Máire (2011), </w:t>
      </w:r>
      <w:r w:rsidRPr="004C77A0">
        <w:rPr>
          <w:rFonts w:ascii="Adobe Garamond Pro" w:hAnsi="Adobe Garamond Pro"/>
          <w:i/>
          <w:sz w:val="20"/>
          <w:szCs w:val="20"/>
          <w:lang w:val="bs-Latn-BA"/>
        </w:rPr>
        <w:t>Integrating the Balkans: Conflict Resolution and the Impact of EU Expansion</w:t>
      </w:r>
      <w:r w:rsidRPr="004C77A0">
        <w:rPr>
          <w:rFonts w:ascii="Adobe Garamond Pro" w:hAnsi="Adobe Garamond Pro"/>
          <w:iCs/>
          <w:sz w:val="20"/>
          <w:szCs w:val="20"/>
          <w:lang w:val="bs-Latn-BA"/>
        </w:rPr>
        <w:t>, Tauris Academic Studies, New York</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Caplan, Richard (2007), </w:t>
      </w:r>
      <w:r w:rsidRPr="004C77A0">
        <w:rPr>
          <w:rFonts w:ascii="Adobe Garamond Pro" w:hAnsi="Adobe Garamond Pro"/>
          <w:i/>
          <w:sz w:val="20"/>
          <w:szCs w:val="20"/>
          <w:lang w:val="bs-Latn-BA"/>
        </w:rPr>
        <w:t>Europe and the Recognition of New States in Yugoslavia</w:t>
      </w:r>
      <w:r w:rsidRPr="004C77A0">
        <w:rPr>
          <w:rFonts w:ascii="Adobe Garamond Pro" w:hAnsi="Adobe Garamond Pro"/>
          <w:iCs/>
          <w:sz w:val="20"/>
          <w:szCs w:val="20"/>
          <w:lang w:val="bs-Latn-BA"/>
        </w:rPr>
        <w:t>, Cambridge University Press, Cambridge</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Ćurak, Nerzuk (2011), </w:t>
      </w:r>
      <w:r w:rsidRPr="004C77A0">
        <w:rPr>
          <w:rFonts w:ascii="Adobe Garamond Pro" w:hAnsi="Adobe Garamond Pro"/>
          <w:i/>
          <w:sz w:val="20"/>
          <w:szCs w:val="20"/>
          <w:lang w:val="bs-Latn-BA"/>
        </w:rPr>
        <w:t>Izvještaj iz periferne zemlje: gramatika geopolitike</w:t>
      </w:r>
      <w:r w:rsidRPr="004C77A0">
        <w:rPr>
          <w:rFonts w:ascii="Adobe Garamond Pro" w:hAnsi="Adobe Garamond Pro"/>
          <w:iCs/>
          <w:sz w:val="20"/>
          <w:szCs w:val="20"/>
          <w:lang w:val="bs-Latn-BA"/>
        </w:rPr>
        <w:t xml:space="preserve">, FPN, Sarajevo, </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Eva Gross, Isabelle Ioannides, Ana E. Juncos, Michael Emerson, Ursula C. Schroeder (urednici) (2007), </w:t>
      </w:r>
      <w:r w:rsidRPr="004C77A0">
        <w:rPr>
          <w:rFonts w:ascii="Adobe Garamond Pro" w:hAnsi="Adobe Garamond Pro"/>
          <w:i/>
          <w:sz w:val="20"/>
          <w:szCs w:val="20"/>
          <w:lang w:val="bs-Latn-BA"/>
        </w:rPr>
        <w:t>Evaluating the EU's Crisis Missions in the Balkans</w:t>
      </w:r>
      <w:r w:rsidRPr="004C77A0">
        <w:rPr>
          <w:rFonts w:ascii="Adobe Garamond Pro" w:hAnsi="Adobe Garamond Pro"/>
          <w:iCs/>
          <w:sz w:val="20"/>
          <w:szCs w:val="20"/>
          <w:lang w:val="bs-Latn-BA"/>
        </w:rPr>
        <w:t>, CEPS, Brussels</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Federiga M. Bindi, Irina Angelescu (priređivači) (2012), </w:t>
      </w:r>
      <w:r w:rsidRPr="004C77A0">
        <w:rPr>
          <w:rFonts w:ascii="Adobe Garamond Pro" w:hAnsi="Adobe Garamond Pro"/>
          <w:i/>
          <w:sz w:val="20"/>
          <w:szCs w:val="20"/>
          <w:lang w:val="bs-Latn-BA"/>
        </w:rPr>
        <w:t>The Foreign Policy of the European Union: Assessing Europe's Role in the World,</w:t>
      </w:r>
      <w:r w:rsidRPr="004C77A0">
        <w:rPr>
          <w:rFonts w:ascii="Adobe Garamond Pro" w:hAnsi="Adobe Garamond Pro"/>
          <w:iCs/>
          <w:sz w:val="20"/>
          <w:szCs w:val="20"/>
          <w:lang w:val="bs-Latn-BA"/>
        </w:rPr>
        <w:t xml:space="preserve"> Brookings Institution Press,</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lastRenderedPageBreak/>
        <w:t>Halilović, Safet (2013</w:t>
      </w:r>
      <w:r w:rsidRPr="004C77A0">
        <w:rPr>
          <w:rFonts w:ascii="Adobe Garamond Pro" w:hAnsi="Adobe Garamond Pro"/>
          <w:i/>
          <w:sz w:val="20"/>
          <w:szCs w:val="20"/>
          <w:lang w:val="bs-Latn-BA"/>
        </w:rPr>
        <w:t>), Evropske integracije i Bosna i Hercegovina</w:t>
      </w:r>
      <w:r w:rsidRPr="004C77A0">
        <w:rPr>
          <w:rFonts w:ascii="Adobe Garamond Pro" w:hAnsi="Adobe Garamond Pro"/>
          <w:iCs/>
          <w:sz w:val="20"/>
          <w:szCs w:val="20"/>
          <w:lang w:val="bs-Latn-BA"/>
        </w:rPr>
        <w:t>, FPN, Sarajevo</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Laidi, Zaki (2008), </w:t>
      </w:r>
      <w:r w:rsidRPr="004C77A0">
        <w:rPr>
          <w:rFonts w:ascii="Adobe Garamond Pro" w:hAnsi="Adobe Garamond Pro"/>
          <w:i/>
          <w:sz w:val="20"/>
          <w:szCs w:val="20"/>
          <w:lang w:val="bs-Latn-BA"/>
        </w:rPr>
        <w:t>EU Foreign Policy in a Globalized World: Normative Power and Social Preferences</w:t>
      </w:r>
      <w:r w:rsidRPr="004C77A0">
        <w:rPr>
          <w:rFonts w:ascii="Adobe Garamond Pro" w:hAnsi="Adobe Garamond Pro"/>
          <w:iCs/>
          <w:sz w:val="20"/>
          <w:szCs w:val="20"/>
          <w:lang w:val="bs-Latn-BA"/>
        </w:rPr>
        <w:t>, Routledge, NewYork/London</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Lucarelli, Sonia; Manners, Ian (2006), </w:t>
      </w:r>
      <w:r w:rsidRPr="004C77A0">
        <w:rPr>
          <w:rFonts w:ascii="Adobe Garamond Pro" w:hAnsi="Adobe Garamond Pro"/>
          <w:i/>
          <w:sz w:val="20"/>
          <w:szCs w:val="20"/>
          <w:lang w:val="bs-Latn-BA"/>
        </w:rPr>
        <w:t>Values and Principles in European Union Foreign Policy,</w:t>
      </w:r>
      <w:r w:rsidRPr="004C77A0">
        <w:rPr>
          <w:rFonts w:ascii="Adobe Garamond Pro" w:hAnsi="Adobe Garamond Pro"/>
          <w:iCs/>
          <w:sz w:val="20"/>
          <w:szCs w:val="20"/>
          <w:lang w:val="bs-Latn-BA"/>
        </w:rPr>
        <w:t xml:space="preserve"> Routledge</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McTaggart, ‘EU Hails Balkan Free Trade Deal as Milestone,’ </w:t>
      </w:r>
      <w:r w:rsidRPr="004C77A0">
        <w:rPr>
          <w:rFonts w:ascii="Adobe Garamond Pro" w:hAnsi="Adobe Garamond Pro"/>
          <w:i/>
          <w:sz w:val="20"/>
          <w:szCs w:val="20"/>
          <w:lang w:val="bs-Latn-BA"/>
        </w:rPr>
        <w:t>Balkan Insight</w:t>
      </w:r>
      <w:r w:rsidRPr="004C77A0">
        <w:rPr>
          <w:rFonts w:ascii="Adobe Garamond Pro" w:hAnsi="Adobe Garamond Pro"/>
          <w:iCs/>
          <w:sz w:val="20"/>
          <w:szCs w:val="20"/>
          <w:lang w:val="bs-Latn-BA"/>
        </w:rPr>
        <w:t>, 26 October 2006;</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Noutcheva, Gergana (2012</w:t>
      </w:r>
      <w:r w:rsidRPr="004C77A0">
        <w:rPr>
          <w:rFonts w:ascii="Adobe Garamond Pro" w:hAnsi="Adobe Garamond Pro"/>
          <w:i/>
          <w:sz w:val="20"/>
          <w:szCs w:val="20"/>
          <w:lang w:val="bs-Latn-BA"/>
        </w:rPr>
        <w:t>), European Foreign Policy and the Challenges of Balkan Accessio</w:t>
      </w:r>
      <w:r w:rsidRPr="004C77A0">
        <w:rPr>
          <w:rFonts w:ascii="Adobe Garamond Pro" w:hAnsi="Adobe Garamond Pro"/>
          <w:iCs/>
          <w:sz w:val="20"/>
          <w:szCs w:val="20"/>
          <w:lang w:val="bs-Latn-BA"/>
        </w:rPr>
        <w:t>n, Routledge, New York/London</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Owen, David (1997), </w:t>
      </w:r>
      <w:r w:rsidRPr="004C77A0">
        <w:rPr>
          <w:rFonts w:ascii="Adobe Garamond Pro" w:hAnsi="Adobe Garamond Pro"/>
          <w:i/>
          <w:sz w:val="20"/>
          <w:szCs w:val="20"/>
          <w:lang w:val="bs-Latn-BA"/>
        </w:rPr>
        <w:t>Balkan Odyssey</w:t>
      </w:r>
      <w:r w:rsidRPr="004C77A0">
        <w:rPr>
          <w:rFonts w:ascii="Adobe Garamond Pro" w:hAnsi="Adobe Garamond Pro"/>
          <w:iCs/>
          <w:sz w:val="20"/>
          <w:szCs w:val="20"/>
          <w:lang w:val="bs-Latn-BA"/>
        </w:rPr>
        <w:t>, Mariner Books</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Panagio</w:t>
      </w:r>
      <w:r w:rsidRPr="004C77A0">
        <w:rPr>
          <w:rFonts w:ascii="Times New Roman" w:hAnsi="Times New Roman" w:cs="Times New Roman"/>
          <w:iCs/>
          <w:sz w:val="20"/>
          <w:szCs w:val="20"/>
          <w:lang w:val="bs-Latn-BA"/>
        </w:rPr>
        <w:t>̄</w:t>
      </w:r>
      <w:r w:rsidRPr="004C77A0">
        <w:rPr>
          <w:rFonts w:ascii="Adobe Garamond Pro" w:hAnsi="Adobe Garamond Pro"/>
          <w:iCs/>
          <w:sz w:val="20"/>
          <w:szCs w:val="20"/>
          <w:lang w:val="bs-Latn-BA"/>
        </w:rPr>
        <w:t>te</w:t>
      </w:r>
      <w:r w:rsidRPr="004C77A0">
        <w:rPr>
          <w:rFonts w:ascii="Times New Roman" w:hAnsi="Times New Roman" w:cs="Times New Roman"/>
          <w:iCs/>
          <w:sz w:val="20"/>
          <w:szCs w:val="20"/>
          <w:lang w:val="bs-Latn-BA"/>
        </w:rPr>
        <w:t>̄</w:t>
      </w:r>
      <w:r w:rsidRPr="004C77A0">
        <w:rPr>
          <w:rFonts w:ascii="Adobe Garamond Pro" w:hAnsi="Adobe Garamond Pro"/>
          <w:iCs/>
          <w:sz w:val="20"/>
          <w:szCs w:val="20"/>
          <w:lang w:val="bs-Latn-BA"/>
        </w:rPr>
        <w:t>s Getime</w:t>
      </w:r>
      <w:r w:rsidRPr="004C77A0">
        <w:rPr>
          <w:rFonts w:ascii="Times New Roman" w:hAnsi="Times New Roman" w:cs="Times New Roman"/>
          <w:iCs/>
          <w:sz w:val="20"/>
          <w:szCs w:val="20"/>
          <w:lang w:val="bs-Latn-BA"/>
        </w:rPr>
        <w:t>̄</w:t>
      </w:r>
      <w:r w:rsidRPr="004C77A0">
        <w:rPr>
          <w:rFonts w:ascii="Adobe Garamond Pro" w:hAnsi="Adobe Garamond Pro"/>
          <w:iCs/>
          <w:sz w:val="20"/>
          <w:szCs w:val="20"/>
          <w:lang w:val="bs-Latn-BA"/>
        </w:rPr>
        <w:t>s; Gre</w:t>
      </w:r>
      <w:r w:rsidRPr="004C77A0">
        <w:rPr>
          <w:rFonts w:ascii="Times New Roman" w:hAnsi="Times New Roman" w:cs="Times New Roman"/>
          <w:iCs/>
          <w:sz w:val="20"/>
          <w:szCs w:val="20"/>
          <w:lang w:val="bs-Latn-BA"/>
        </w:rPr>
        <w:t>̄</w:t>
      </w:r>
      <w:r w:rsidRPr="004C77A0">
        <w:rPr>
          <w:rFonts w:ascii="Adobe Garamond Pro" w:hAnsi="Adobe Garamond Pro"/>
          <w:iCs/>
          <w:sz w:val="20"/>
          <w:szCs w:val="20"/>
          <w:lang w:val="bs-Latn-BA"/>
        </w:rPr>
        <w:t>gore</w:t>
      </w:r>
      <w:r w:rsidRPr="004C77A0">
        <w:rPr>
          <w:rFonts w:ascii="Times New Roman" w:hAnsi="Times New Roman" w:cs="Times New Roman"/>
          <w:iCs/>
          <w:sz w:val="20"/>
          <w:szCs w:val="20"/>
          <w:lang w:val="bs-Latn-BA"/>
        </w:rPr>
        <w:t>̄</w:t>
      </w:r>
      <w:r w:rsidRPr="004C77A0">
        <w:rPr>
          <w:rFonts w:ascii="Adobe Garamond Pro" w:hAnsi="Adobe Garamond Pro"/>
          <w:iCs/>
          <w:sz w:val="20"/>
          <w:szCs w:val="20"/>
          <w:lang w:val="bs-Latn-BA"/>
        </w:rPr>
        <w:t xml:space="preserve">s Kaukalas (2007), </w:t>
      </w:r>
      <w:r w:rsidRPr="004C77A0">
        <w:rPr>
          <w:rFonts w:ascii="Adobe Garamond Pro" w:hAnsi="Adobe Garamond Pro"/>
          <w:i/>
          <w:sz w:val="20"/>
          <w:szCs w:val="20"/>
          <w:lang w:val="bs-Latn-BA"/>
        </w:rPr>
        <w:t>Overcoming fragmentation in Southeast Europe : spatial development trends and integration potential</w:t>
      </w:r>
      <w:r w:rsidRPr="004C77A0">
        <w:rPr>
          <w:rFonts w:ascii="Adobe Garamond Pro" w:hAnsi="Adobe Garamond Pro"/>
          <w:iCs/>
          <w:sz w:val="20"/>
          <w:szCs w:val="20"/>
          <w:lang w:val="bs-Latn-BA"/>
        </w:rPr>
        <w:t>, Aldershot, Hampshire, str. 4.</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Schake K. (2002), </w:t>
      </w:r>
      <w:r w:rsidRPr="004C77A0">
        <w:rPr>
          <w:rFonts w:ascii="Adobe Garamond Pro" w:hAnsi="Adobe Garamond Pro"/>
          <w:i/>
          <w:sz w:val="20"/>
          <w:szCs w:val="20"/>
          <w:lang w:val="bs-Latn-BA"/>
        </w:rPr>
        <w:t>Constructive Duplication: Reducing EU Reliance on US Military Assets</w:t>
      </w:r>
      <w:r w:rsidRPr="004C77A0">
        <w:rPr>
          <w:rFonts w:ascii="Adobe Garamond Pro" w:hAnsi="Adobe Garamond Pro"/>
          <w:iCs/>
          <w:sz w:val="20"/>
          <w:szCs w:val="20"/>
          <w:lang w:val="bs-Latn-BA"/>
        </w:rPr>
        <w:t>, Center for European Reform, London</w:t>
      </w:r>
    </w:p>
    <w:p w:rsidR="004C77A0" w:rsidRPr="004C77A0" w:rsidRDefault="004C77A0" w:rsidP="00E522D3">
      <w:pPr>
        <w:numPr>
          <w:ilvl w:val="0"/>
          <w:numId w:val="12"/>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Van Meurs, W. P. (2003), ‘The Next Europe: South-Eastern Europe After Thessakoniki,’ </w:t>
      </w:r>
      <w:r w:rsidRPr="004C77A0">
        <w:rPr>
          <w:rFonts w:ascii="Adobe Garamond Pro" w:hAnsi="Adobe Garamond Pro"/>
          <w:i/>
          <w:sz w:val="20"/>
          <w:szCs w:val="20"/>
          <w:lang w:val="bs-Latn-BA"/>
        </w:rPr>
        <w:t>South East Europe Review</w:t>
      </w:r>
      <w:r w:rsidRPr="004C77A0">
        <w:rPr>
          <w:rFonts w:ascii="Adobe Garamond Pro" w:hAnsi="Adobe Garamond Pro"/>
          <w:iCs/>
          <w:sz w:val="20"/>
          <w:szCs w:val="20"/>
          <w:lang w:val="bs-Latn-BA"/>
        </w:rPr>
        <w:t>, 6(3), 2003</w:t>
      </w:r>
    </w:p>
    <w:p w:rsidR="004C77A0" w:rsidRPr="004C77A0" w:rsidRDefault="004C77A0" w:rsidP="00E522D3">
      <w:pPr>
        <w:spacing w:after="0" w:line="240" w:lineRule="auto"/>
        <w:ind w:firstLine="720"/>
        <w:jc w:val="both"/>
        <w:rPr>
          <w:rFonts w:ascii="Adobe Garamond Pro" w:hAnsi="Adobe Garamond Pro"/>
          <w:iCs/>
          <w:sz w:val="20"/>
          <w:szCs w:val="20"/>
          <w:lang w:val="bs-Latn-BA"/>
        </w:rPr>
      </w:pPr>
    </w:p>
    <w:p w:rsidR="004C77A0" w:rsidRPr="003D399B" w:rsidRDefault="003D399B" w:rsidP="00E522D3">
      <w:pPr>
        <w:spacing w:after="0" w:line="240" w:lineRule="auto"/>
        <w:jc w:val="both"/>
        <w:rPr>
          <w:rFonts w:ascii="Adobe Garamond Pro" w:hAnsi="Adobe Garamond Pro"/>
          <w:b/>
          <w:bCs/>
          <w:iCs/>
          <w:lang w:val="bs-Latn-BA"/>
        </w:rPr>
      </w:pPr>
      <w:r>
        <w:rPr>
          <w:rFonts w:ascii="Adobe Garamond Pro" w:hAnsi="Adobe Garamond Pro"/>
          <w:b/>
          <w:bCs/>
          <w:iCs/>
          <w:lang w:val="bs-Latn-BA"/>
        </w:rPr>
        <w:t>Dokumenti</w:t>
      </w:r>
    </w:p>
    <w:p w:rsidR="004C77A0" w:rsidRPr="004C77A0" w:rsidRDefault="004C77A0" w:rsidP="00E522D3">
      <w:pPr>
        <w:spacing w:after="0" w:line="240" w:lineRule="auto"/>
        <w:ind w:firstLine="720"/>
        <w:jc w:val="both"/>
        <w:rPr>
          <w:rFonts w:ascii="Adobe Garamond Pro" w:hAnsi="Adobe Garamond Pro"/>
          <w:iCs/>
          <w:sz w:val="20"/>
          <w:szCs w:val="20"/>
          <w:lang w:val="bs-Latn-BA"/>
        </w:rPr>
      </w:pPr>
    </w:p>
    <w:p w:rsidR="004C77A0" w:rsidRPr="004C77A0" w:rsidRDefault="004C77A0" w:rsidP="00E522D3">
      <w:pPr>
        <w:numPr>
          <w:ilvl w:val="0"/>
          <w:numId w:val="11"/>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A Partnership For Democracy And Shared Prosperity With The Southern Mediterranean A Com(2011) 200</w:t>
      </w:r>
    </w:p>
    <w:p w:rsidR="004C77A0" w:rsidRPr="004C77A0" w:rsidRDefault="004C77A0" w:rsidP="00E522D3">
      <w:pPr>
        <w:numPr>
          <w:ilvl w:val="0"/>
          <w:numId w:val="11"/>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 xml:space="preserve">A new response to a changing Neighbourhood, Brussels, 25.5.2011., </w:t>
      </w:r>
      <w:r w:rsidRPr="00E522D3">
        <w:rPr>
          <w:rFonts w:ascii="Adobe Garamond Pro" w:hAnsi="Adobe Garamond Pro"/>
          <w:iCs/>
          <w:sz w:val="20"/>
          <w:szCs w:val="20"/>
          <w:lang w:val="bs-Latn-BA"/>
        </w:rPr>
        <w:t>http://www.eeas.europa.eu/top_stories/2011/250511_en.htm</w:t>
      </w:r>
    </w:p>
    <w:p w:rsidR="004C77A0" w:rsidRPr="004C77A0" w:rsidRDefault="004C77A0" w:rsidP="00E522D3">
      <w:pPr>
        <w:numPr>
          <w:ilvl w:val="0"/>
          <w:numId w:val="11"/>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‘The Reluctant Debutante: The European Union as Promoter of Democracy in Its Neighbourhood,’ Centre for European Policy Studies, CEPS Working Document 223, Brussels, Juli 2005, p. ii;</w:t>
      </w:r>
    </w:p>
    <w:p w:rsidR="004C77A0" w:rsidRPr="004C77A0" w:rsidRDefault="004C77A0" w:rsidP="00E522D3">
      <w:pPr>
        <w:numPr>
          <w:ilvl w:val="0"/>
          <w:numId w:val="11"/>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European Union, Enlargement Strategy and Main Challenges 2007 – 2008, European Commission, Brussels, 6 November 2007.</w:t>
      </w:r>
    </w:p>
    <w:p w:rsidR="00E522D3" w:rsidRDefault="004C77A0" w:rsidP="00E522D3">
      <w:pPr>
        <w:numPr>
          <w:ilvl w:val="0"/>
          <w:numId w:val="11"/>
        </w:numPr>
        <w:spacing w:after="0" w:line="240" w:lineRule="auto"/>
        <w:ind w:left="360"/>
        <w:jc w:val="both"/>
        <w:rPr>
          <w:rFonts w:ascii="Adobe Garamond Pro" w:hAnsi="Adobe Garamond Pro"/>
          <w:iCs/>
          <w:sz w:val="20"/>
          <w:szCs w:val="20"/>
          <w:lang w:val="bs-Latn-BA"/>
        </w:rPr>
      </w:pPr>
      <w:r w:rsidRPr="004C77A0">
        <w:rPr>
          <w:rFonts w:ascii="Adobe Garamond Pro" w:hAnsi="Adobe Garamond Pro"/>
          <w:iCs/>
          <w:sz w:val="20"/>
          <w:szCs w:val="20"/>
          <w:lang w:val="bs-Latn-BA"/>
        </w:rPr>
        <w:t>Lisabon Treaty,</w:t>
      </w:r>
    </w:p>
    <w:p w:rsidR="004C77A0" w:rsidRPr="00E522D3" w:rsidRDefault="004C77A0" w:rsidP="00E522D3">
      <w:pPr>
        <w:spacing w:after="0" w:line="240" w:lineRule="auto"/>
        <w:ind w:left="360"/>
        <w:jc w:val="both"/>
        <w:rPr>
          <w:rFonts w:ascii="Adobe Garamond Pro" w:hAnsi="Adobe Garamond Pro"/>
          <w:iCs/>
          <w:sz w:val="20"/>
          <w:szCs w:val="20"/>
          <w:lang w:val="bs-Latn-BA"/>
        </w:rPr>
      </w:pPr>
      <w:r w:rsidRPr="00E522D3">
        <w:rPr>
          <w:rFonts w:ascii="Adobe Garamond Pro" w:hAnsi="Adobe Garamond Pro"/>
          <w:iCs/>
          <w:sz w:val="20"/>
          <w:szCs w:val="20"/>
          <w:lang w:val="bs-Latn-BA"/>
        </w:rPr>
        <w:t>http://www.mvep.hr/custompages/static/hrv/files/EUugovori/12007L_Ugovor_iz_Lisabona_hrv.pdf</w:t>
      </w:r>
    </w:p>
    <w:p w:rsidR="00770147" w:rsidRPr="001B748B" w:rsidRDefault="00770147" w:rsidP="004C77A0">
      <w:pPr>
        <w:spacing w:after="0" w:line="240" w:lineRule="auto"/>
        <w:ind w:firstLine="720"/>
        <w:jc w:val="both"/>
        <w:rPr>
          <w:rFonts w:ascii="Adobe Garamond Pro" w:hAnsi="Adobe Garamond Pro"/>
          <w:lang w:val="bs-Latn-BA"/>
        </w:rPr>
      </w:pPr>
    </w:p>
    <w:sectPr w:rsidR="00770147" w:rsidRPr="001B748B" w:rsidSect="003D399B">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0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2A" w:rsidRDefault="00DC582A" w:rsidP="000C691C">
      <w:pPr>
        <w:spacing w:after="0" w:line="240" w:lineRule="auto"/>
      </w:pPr>
      <w:r>
        <w:separator/>
      </w:r>
    </w:p>
  </w:endnote>
  <w:endnote w:type="continuationSeparator" w:id="1">
    <w:p w:rsidR="00DC582A" w:rsidRDefault="00DC582A"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D7705">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3D399B">
      <w:rPr>
        <w:rFonts w:ascii="Adobe Garamond Pro" w:hAnsi="Adobe Garamond Pro" w:cs="Times New Roman"/>
        <w:noProof/>
        <w:sz w:val="20"/>
        <w:szCs w:val="20"/>
      </w:rPr>
      <w:t>1026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4D7705">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D399B">
      <w:rPr>
        <w:rFonts w:ascii="Adobe Garamond Pro" w:hAnsi="Adobe Garamond Pro" w:cs="Times New Roman"/>
        <w:noProof/>
        <w:sz w:val="20"/>
        <w:szCs w:val="20"/>
      </w:rPr>
      <w:t>1025</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4D7705"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D399B">
      <w:rPr>
        <w:rFonts w:ascii="Adobe Garamond Pro" w:hAnsi="Adobe Garamond Pro" w:cs="Times New Roman"/>
        <w:noProof/>
        <w:sz w:val="20"/>
        <w:szCs w:val="20"/>
      </w:rPr>
      <w:t>1011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2A" w:rsidRDefault="00DC582A" w:rsidP="000C691C">
      <w:pPr>
        <w:spacing w:after="0" w:line="240" w:lineRule="auto"/>
      </w:pPr>
      <w:r>
        <w:separator/>
      </w:r>
    </w:p>
  </w:footnote>
  <w:footnote w:type="continuationSeparator" w:id="1">
    <w:p w:rsidR="00DC582A" w:rsidRDefault="00DC582A" w:rsidP="000C691C">
      <w:pPr>
        <w:spacing w:after="0" w:line="240" w:lineRule="auto"/>
      </w:pPr>
      <w:r>
        <w:continuationSeparator/>
      </w:r>
    </w:p>
  </w:footnote>
  <w:footnote w:id="2">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 Federiga Bindi 2012, „European Union Foreign Policy: A historical Overview“, u Federiga M. Bindi, Irina Angelescu (priređivači), </w:t>
      </w:r>
      <w:r w:rsidRPr="00E522D3">
        <w:rPr>
          <w:rFonts w:ascii="Adobe Garamond Pro" w:hAnsi="Adobe Garamond Pro" w:cstheme="majorBidi"/>
          <w:i/>
          <w:iCs/>
          <w:sz w:val="18"/>
          <w:szCs w:val="18"/>
          <w:lang w:val="bs-Latn-BA"/>
        </w:rPr>
        <w:t>The Foreign Policy of the European Union: Assessing Europe's Role in the World</w:t>
      </w:r>
      <w:r w:rsidRPr="00E522D3">
        <w:rPr>
          <w:rFonts w:ascii="Adobe Garamond Pro" w:hAnsi="Adobe Garamond Pro" w:cstheme="majorBidi"/>
          <w:sz w:val="18"/>
          <w:szCs w:val="18"/>
          <w:lang w:val="bs-Latn-BA"/>
        </w:rPr>
        <w:t>, Brookings Institution Press, str. 19</w:t>
      </w:r>
    </w:p>
  </w:footnote>
  <w:footnote w:id="3">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Halilović, Safet (2013), Evropske integracije i Bosna i Hercegovina, FPN, Sarajevo, str. 37.</w:t>
      </w:r>
    </w:p>
  </w:footnote>
  <w:footnote w:id="4">
    <w:p w:rsid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Zajednička vanjska i sigurnosna politika, </w:t>
      </w:r>
    </w:p>
    <w:p w:rsidR="004C77A0" w:rsidRPr="00E522D3" w:rsidRDefault="004C77A0" w:rsidP="004C77A0">
      <w:pPr>
        <w:pStyle w:val="FootnoteText"/>
        <w:jc w:val="both"/>
        <w:rPr>
          <w:rFonts w:ascii="Adobe Garamond Pro" w:hAnsi="Adobe Garamond Pro" w:cstheme="majorBidi"/>
          <w:sz w:val="18"/>
          <w:szCs w:val="18"/>
          <w:lang w:val="bs-Latn-BA"/>
        </w:rPr>
      </w:pPr>
      <w:r w:rsidRPr="00E522D3">
        <w:rPr>
          <w:rFonts w:ascii="Adobe Garamond Pro" w:hAnsi="Adobe Garamond Pro" w:cstheme="majorBidi"/>
          <w:sz w:val="18"/>
          <w:szCs w:val="18"/>
          <w:lang w:val="bs-Latn-BA"/>
        </w:rPr>
        <w:t>http://www.dei.gov.ba/dokumenti/default.aspx?id=4920&amp;langTag=bs-BA</w:t>
      </w:r>
    </w:p>
  </w:footnote>
  <w:footnote w:id="5">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Ugovor iz Lisabona, članak 10.A 1</w:t>
      </w:r>
    </w:p>
  </w:footnote>
  <w:footnote w:id="6">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Lucarelli, Sonia; Manners, Ian (2006), </w:t>
      </w:r>
      <w:r w:rsidRPr="00E522D3">
        <w:rPr>
          <w:rFonts w:ascii="Adobe Garamond Pro" w:hAnsi="Adobe Garamond Pro" w:cstheme="majorBidi"/>
          <w:i/>
          <w:iCs/>
          <w:sz w:val="18"/>
          <w:szCs w:val="18"/>
          <w:lang w:val="bs-Latn-BA"/>
        </w:rPr>
        <w:t>Values and Principles in European Union Foreign Policy</w:t>
      </w:r>
      <w:r w:rsidRPr="00E522D3">
        <w:rPr>
          <w:rFonts w:ascii="Adobe Garamond Pro" w:hAnsi="Adobe Garamond Pro" w:cstheme="majorBidi"/>
          <w:sz w:val="18"/>
          <w:szCs w:val="18"/>
          <w:lang w:val="bs-Latn-BA"/>
        </w:rPr>
        <w:t>,Routledge, str. 5</w:t>
      </w:r>
    </w:p>
  </w:footnote>
  <w:footnote w:id="7">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 Jorgensen, Knud Eric (2004) „Theorising the European Union's freign policy“ u Ben Tonra, Thomas Christiansen (priređivači), </w:t>
      </w:r>
      <w:r w:rsidRPr="00E522D3">
        <w:rPr>
          <w:rFonts w:ascii="Adobe Garamond Pro" w:hAnsi="Adobe Garamond Pro" w:cstheme="majorBidi"/>
          <w:i/>
          <w:iCs/>
          <w:sz w:val="18"/>
          <w:szCs w:val="18"/>
          <w:lang w:val="bs-Latn-BA"/>
        </w:rPr>
        <w:t>Rethinking European Union Foreign Policy</w:t>
      </w:r>
      <w:r w:rsidRPr="00E522D3">
        <w:rPr>
          <w:rFonts w:ascii="Adobe Garamond Pro" w:hAnsi="Adobe Garamond Pro" w:cstheme="majorBidi"/>
          <w:sz w:val="18"/>
          <w:szCs w:val="18"/>
          <w:lang w:val="bs-Latn-BA"/>
        </w:rPr>
        <w:t>,Manchester University Press, str. 11</w:t>
      </w:r>
    </w:p>
  </w:footnote>
  <w:footnote w:id="8">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i/>
          <w:iCs/>
          <w:sz w:val="18"/>
          <w:szCs w:val="18"/>
          <w:lang w:val="bs-Latn-BA"/>
        </w:rPr>
        <w:t>A Partnership For Democracy And Shared Prosperity With The Southern Mediterranean</w:t>
      </w:r>
      <w:r w:rsidRPr="00E522D3">
        <w:rPr>
          <w:rFonts w:ascii="Adobe Garamond Pro" w:hAnsi="Adobe Garamond Pro" w:cstheme="majorBidi"/>
          <w:sz w:val="18"/>
          <w:szCs w:val="18"/>
          <w:lang w:val="bs-Latn-BA"/>
        </w:rPr>
        <w:t xml:space="preserve"> A Com(2011) 200</w:t>
      </w:r>
    </w:p>
  </w:footnote>
  <w:footnote w:id="9">
    <w:p w:rsid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i/>
          <w:iCs/>
          <w:sz w:val="18"/>
          <w:szCs w:val="18"/>
          <w:lang w:val="bs-Latn-BA"/>
        </w:rPr>
        <w:t>A new response to a changing Neighbourhood</w:t>
      </w:r>
      <w:r w:rsidRPr="00E522D3">
        <w:rPr>
          <w:rFonts w:ascii="Adobe Garamond Pro" w:hAnsi="Adobe Garamond Pro" w:cstheme="majorBidi"/>
          <w:sz w:val="18"/>
          <w:szCs w:val="18"/>
          <w:lang w:val="bs-Latn-BA"/>
        </w:rPr>
        <w:t xml:space="preserve">, Brussels, 25.5.2011., </w:t>
      </w:r>
    </w:p>
    <w:p w:rsidR="004C77A0" w:rsidRPr="00E522D3" w:rsidRDefault="004C77A0" w:rsidP="004C77A0">
      <w:pPr>
        <w:pStyle w:val="FootnoteText"/>
        <w:jc w:val="both"/>
        <w:rPr>
          <w:rFonts w:ascii="Adobe Garamond Pro" w:hAnsi="Adobe Garamond Pro" w:cstheme="majorBidi"/>
          <w:sz w:val="18"/>
          <w:szCs w:val="18"/>
          <w:lang w:val="bs-Latn-BA"/>
        </w:rPr>
      </w:pPr>
      <w:r w:rsidRPr="00E522D3">
        <w:rPr>
          <w:rFonts w:ascii="Adobe Garamond Pro" w:hAnsi="Adobe Garamond Pro" w:cstheme="majorBidi"/>
          <w:sz w:val="18"/>
          <w:szCs w:val="18"/>
          <w:lang w:val="bs-Latn-BA"/>
        </w:rPr>
        <w:t>http://www.eeas.europa.eu/top_stories/2011/250511_en.htm</w:t>
      </w:r>
    </w:p>
  </w:footnote>
  <w:footnote w:id="10">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Jan Techau, „What if the EU Had Reacted Strategically to the Arab Spring?“ http://carnegieeurope.eu/2014/02/27/what-if-eu-had-reacted-strategically-to-arab-spring/h1z0 (pristupano 7.4.2014)</w:t>
      </w:r>
    </w:p>
  </w:footnote>
  <w:footnote w:id="11">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ibid.</w:t>
      </w:r>
    </w:p>
  </w:footnote>
  <w:footnote w:id="12">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„EU official: The Arab Spring revealed our weaknesses“, http://www.euractiv.com/global-europe/director-oppd-arab-spring-europe-interview-519151</w:t>
      </w:r>
    </w:p>
  </w:footnote>
  <w:footnote w:id="13">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„Conflict in Yugoslavia; Europeans send high--level team“, New York Times, June 29, 1991, http://www.nytimes.com/1991/06/29/world/conflict-in-yugoslavia-europeans-send-high-level-team.html</w:t>
      </w:r>
    </w:p>
  </w:footnote>
  <w:footnote w:id="14">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Braniff, Máire (2011), </w:t>
      </w:r>
      <w:r w:rsidRPr="00E522D3">
        <w:rPr>
          <w:rFonts w:ascii="Adobe Garamond Pro" w:hAnsi="Adobe Garamond Pro" w:cstheme="majorBidi"/>
          <w:i/>
          <w:iCs/>
          <w:sz w:val="18"/>
          <w:szCs w:val="18"/>
          <w:lang w:val="bs-Latn-BA"/>
        </w:rPr>
        <w:t>Integrating the Balkans: Conflict Resolution and the Impact of EU Expansion</w:t>
      </w:r>
      <w:r w:rsidRPr="00E522D3">
        <w:rPr>
          <w:rFonts w:ascii="Adobe Garamond Pro" w:hAnsi="Adobe Garamond Pro" w:cstheme="majorBidi"/>
          <w:sz w:val="18"/>
          <w:szCs w:val="18"/>
          <w:lang w:val="bs-Latn-BA"/>
        </w:rPr>
        <w:t>, Tauris Academic Studies, New York, str. 52</w:t>
      </w:r>
    </w:p>
  </w:footnote>
  <w:footnote w:id="15">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Ibid., str. 53.</w:t>
      </w:r>
    </w:p>
  </w:footnote>
  <w:footnote w:id="16">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Ibid. str. 53-54.</w:t>
      </w:r>
    </w:p>
  </w:footnote>
  <w:footnote w:id="17">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Caplan, Richard (2007), </w:t>
      </w:r>
      <w:r w:rsidRPr="00E522D3">
        <w:rPr>
          <w:rFonts w:ascii="Adobe Garamond Pro" w:hAnsi="Adobe Garamond Pro" w:cstheme="majorBidi"/>
          <w:i/>
          <w:iCs/>
          <w:sz w:val="18"/>
          <w:szCs w:val="18"/>
          <w:lang w:val="bs-Latn-BA"/>
        </w:rPr>
        <w:t>Europe and the Recognition of New States in Yugoslavia</w:t>
      </w:r>
      <w:r w:rsidRPr="00E522D3">
        <w:rPr>
          <w:rFonts w:ascii="Adobe Garamond Pro" w:hAnsi="Adobe Garamond Pro" w:cstheme="majorBidi"/>
          <w:sz w:val="18"/>
          <w:szCs w:val="18"/>
          <w:lang w:val="bs-Latn-BA"/>
        </w:rPr>
        <w:t>, Cambridge University Press, Cambridge, str. 20</w:t>
      </w:r>
    </w:p>
  </w:footnote>
  <w:footnote w:id="18">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Na međunarodnoj konferenciji u Kelnu 10.6.1999. usvojen je dokument o Paktu stabilnosti, sa prvenstvenim ciljem jačanja zemalja jugoistočne Evrope, u nastojanju da podstiču mir, demokrtajiju poštivanje ljudskih prava itd. Ovaj pakt predstavlja jednu od ključnih regionalnih inicijativa i početak konkretnije politike integracije zemalja jugoistočne Evrope u Evropsku uniju. 2008. godine, zamjenilo ha je novoosnovano Vijeće za regionalnu saradnju (Regional Cooperation Council - RCC)</w:t>
      </w:r>
    </w:p>
  </w:footnote>
  <w:footnote w:id="19">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v. više u Belloni, Roberto (2007), </w:t>
      </w:r>
      <w:r w:rsidRPr="00E522D3">
        <w:rPr>
          <w:rFonts w:ascii="Adobe Garamond Pro" w:hAnsi="Adobe Garamond Pro" w:cstheme="majorBidi"/>
          <w:i/>
          <w:iCs/>
          <w:sz w:val="18"/>
          <w:szCs w:val="18"/>
          <w:lang w:val="bs-Latn-BA"/>
        </w:rPr>
        <w:t>State Building and International Intervention in Bosnia</w:t>
      </w:r>
      <w:r w:rsidRPr="00E522D3">
        <w:rPr>
          <w:rFonts w:ascii="Adobe Garamond Pro" w:hAnsi="Adobe Garamond Pro" w:cstheme="majorBidi"/>
          <w:sz w:val="18"/>
          <w:szCs w:val="18"/>
          <w:lang w:val="bs-Latn-BA"/>
        </w:rPr>
        <w:t xml:space="preserve">, Routledge, London and New York. </w:t>
      </w:r>
    </w:p>
  </w:footnote>
  <w:footnote w:id="20">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Halilović, Safet (2013), nav. djelo, str. 167</w:t>
      </w:r>
    </w:p>
  </w:footnote>
  <w:footnote w:id="21">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Begić, Kasim (1997), </w:t>
      </w:r>
      <w:r w:rsidRPr="00E522D3">
        <w:rPr>
          <w:rFonts w:ascii="Adobe Garamond Pro" w:hAnsi="Adobe Garamond Pro" w:cstheme="majorBidi"/>
          <w:i/>
          <w:iCs/>
          <w:sz w:val="18"/>
          <w:szCs w:val="18"/>
          <w:lang w:val="bs-Latn-BA"/>
        </w:rPr>
        <w:t>Bosna i Hercegovina: od Vanceove misije do Daytonskog sporazuma</w:t>
      </w:r>
      <w:r w:rsidRPr="00E522D3">
        <w:rPr>
          <w:rFonts w:ascii="Adobe Garamond Pro" w:hAnsi="Adobe Garamond Pro" w:cstheme="majorBidi"/>
          <w:sz w:val="18"/>
          <w:szCs w:val="18"/>
          <w:lang w:val="bs-Latn-BA"/>
        </w:rPr>
        <w:t>,  Bosanska knjiga, Sarajevo, str. 83-84</w:t>
      </w:r>
    </w:p>
  </w:footnote>
  <w:footnote w:id="22">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V. više o mirovnim sporazumima: Begić (1997), nav. djelo.</w:t>
      </w:r>
    </w:p>
  </w:footnote>
  <w:footnote w:id="23">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Braniff, Máire (2011), nav. djelo, str. 58</w:t>
      </w:r>
    </w:p>
  </w:footnote>
  <w:footnote w:id="24">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David, Owen (1997), </w:t>
      </w:r>
      <w:r w:rsidRPr="00E522D3">
        <w:rPr>
          <w:rFonts w:ascii="Adobe Garamond Pro" w:hAnsi="Adobe Garamond Pro" w:cstheme="majorBidi"/>
          <w:i/>
          <w:iCs/>
          <w:sz w:val="18"/>
          <w:szCs w:val="18"/>
          <w:lang w:val="bs-Latn-BA"/>
        </w:rPr>
        <w:t>Balkan Odyssey,</w:t>
      </w:r>
      <w:r w:rsidRPr="00E522D3">
        <w:rPr>
          <w:rFonts w:ascii="Adobe Garamond Pro" w:hAnsi="Adobe Garamond Pro" w:cstheme="majorBidi"/>
          <w:sz w:val="18"/>
          <w:szCs w:val="18"/>
          <w:lang w:val="bs-Latn-BA"/>
        </w:rPr>
        <w:t xml:space="preserve"> Mariner Books, str. 240-241</w:t>
      </w:r>
    </w:p>
  </w:footnote>
  <w:footnote w:id="25">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Jorgensen, Knud Eric (2004) „Theorising the European Union's freign policy“ u Ben Tonra, Thomas Christiansen (priređivači), </w:t>
      </w:r>
      <w:r w:rsidRPr="00E522D3">
        <w:rPr>
          <w:rFonts w:ascii="Adobe Garamond Pro" w:hAnsi="Adobe Garamond Pro" w:cstheme="majorBidi"/>
          <w:i/>
          <w:iCs/>
          <w:sz w:val="18"/>
          <w:szCs w:val="18"/>
          <w:lang w:val="bs-Latn-BA"/>
        </w:rPr>
        <w:t>Rethinking European Union Foreign Policy</w:t>
      </w:r>
      <w:r w:rsidRPr="00E522D3">
        <w:rPr>
          <w:rFonts w:ascii="Adobe Garamond Pro" w:hAnsi="Adobe Garamond Pro" w:cstheme="majorBidi"/>
          <w:sz w:val="18"/>
          <w:szCs w:val="18"/>
          <w:lang w:val="bs-Latn-BA"/>
        </w:rPr>
        <w:t>, Manchester University Press, str. 13</w:t>
      </w:r>
    </w:p>
  </w:footnote>
  <w:footnote w:id="26">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Begić (1997), nav. djelo, str. 100</w:t>
      </w:r>
    </w:p>
  </w:footnote>
  <w:footnote w:id="27">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Wallensteen, Peter (2008), „International response to crises od democratization in war-torn societies“ u A. Jarstad and T. D. Sisk (urednici), </w:t>
      </w:r>
      <w:r w:rsidRPr="00E522D3">
        <w:rPr>
          <w:rFonts w:ascii="Adobe Garamond Pro" w:hAnsi="Adobe Garamond Pro" w:cstheme="majorBidi"/>
          <w:i/>
          <w:iCs/>
          <w:sz w:val="18"/>
          <w:szCs w:val="18"/>
          <w:lang w:val="bs-Latn-BA"/>
        </w:rPr>
        <w:t>From War to Democracy: Dilemmas of Peacebuilding</w:t>
      </w:r>
      <w:r w:rsidRPr="00E522D3">
        <w:rPr>
          <w:rFonts w:ascii="Adobe Garamond Pro" w:hAnsi="Adobe Garamond Pro" w:cstheme="majorBidi"/>
          <w:sz w:val="18"/>
          <w:szCs w:val="18"/>
          <w:lang w:val="bs-Latn-BA"/>
        </w:rPr>
        <w:t>, Cambridge University Press, Cambridge, str. 213-238.</w:t>
      </w:r>
    </w:p>
  </w:footnote>
  <w:footnote w:id="28">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V. više Halilović (2013), nav. djelo, str. 187 i odrednica </w:t>
      </w:r>
      <w:r w:rsidRPr="00E522D3">
        <w:rPr>
          <w:rFonts w:ascii="Adobe Garamond Pro" w:hAnsi="Adobe Garamond Pro" w:cstheme="majorBidi"/>
          <w:i/>
          <w:iCs/>
          <w:sz w:val="18"/>
          <w:szCs w:val="18"/>
          <w:lang w:val="bs-Latn-BA"/>
        </w:rPr>
        <w:t>CONSULTATIVE TASK FORCE</w:t>
      </w:r>
      <w:r w:rsidRPr="00E522D3">
        <w:rPr>
          <w:rFonts w:ascii="Adobe Garamond Pro" w:hAnsi="Adobe Garamond Pro" w:cstheme="majorBidi"/>
          <w:sz w:val="18"/>
          <w:szCs w:val="18"/>
          <w:lang w:val="bs-Latn-BA"/>
        </w:rPr>
        <w:t>, Direkcija za evropke integracije, http://www.dei.gov.ba/dokumenti/default.aspx?id=4559&amp;langTag=bs-BA (pristupano 7.4.2014.)</w:t>
      </w:r>
    </w:p>
  </w:footnote>
  <w:footnote w:id="29">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Laidi, Zaki (2008), </w:t>
      </w:r>
      <w:r w:rsidRPr="00E522D3">
        <w:rPr>
          <w:rFonts w:ascii="Adobe Garamond Pro" w:hAnsi="Adobe Garamond Pro" w:cstheme="majorBidi"/>
          <w:i/>
          <w:iCs/>
          <w:sz w:val="18"/>
          <w:szCs w:val="18"/>
          <w:lang w:val="bs-Latn-BA"/>
        </w:rPr>
        <w:t>EU Foreign Policy in a Globalized World: Normative Power and Social Preferences</w:t>
      </w:r>
      <w:r w:rsidRPr="00E522D3">
        <w:rPr>
          <w:rFonts w:ascii="Adobe Garamond Pro" w:hAnsi="Adobe Garamond Pro" w:cstheme="majorBidi"/>
          <w:sz w:val="18"/>
          <w:szCs w:val="18"/>
          <w:lang w:val="bs-Latn-BA"/>
        </w:rPr>
        <w:t>, Routledge, NewYork/London, str. 58.</w:t>
      </w:r>
    </w:p>
  </w:footnote>
  <w:footnote w:id="30">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Lucarelli, Sonia; Manners, Ian (2006), nav. djelo, str. 150</w:t>
      </w:r>
    </w:p>
  </w:footnote>
  <w:footnote w:id="31">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‘The Reluctant Debutante: The European Union as Promoter of Democracy in Its Neighbourhood,’ Centre for European Policy Studies, CEPS Working Document 223, Brussels, Juli 2005, p. ii;</w:t>
      </w:r>
    </w:p>
  </w:footnote>
  <w:footnote w:id="32">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Van Meurs, W. P. (2003), ‘The Next Europe: South-Eastern Europe After Thessakoniki,’ </w:t>
      </w:r>
      <w:r w:rsidRPr="00E522D3">
        <w:rPr>
          <w:rFonts w:ascii="Adobe Garamond Pro" w:hAnsi="Adobe Garamond Pro" w:cstheme="majorBidi"/>
          <w:i/>
          <w:iCs/>
          <w:sz w:val="18"/>
          <w:szCs w:val="18"/>
          <w:lang w:val="bs-Latn-BA"/>
        </w:rPr>
        <w:t>South East Europe Review</w:t>
      </w:r>
      <w:r w:rsidRPr="00E522D3">
        <w:rPr>
          <w:rFonts w:ascii="Adobe Garamond Pro" w:hAnsi="Adobe Garamond Pro" w:cstheme="majorBidi"/>
          <w:sz w:val="18"/>
          <w:szCs w:val="18"/>
          <w:lang w:val="bs-Latn-BA"/>
        </w:rPr>
        <w:t>, 6(3), 2003, str. 9-16.</w:t>
      </w:r>
    </w:p>
  </w:footnote>
  <w:footnote w:id="33">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Kafkalas Grigoris (2007) „Overcoming fragmentation in Southeast Europe: Overview of major themes“, u Panagio</w:t>
      </w:r>
      <w:r w:rsidRPr="00E522D3">
        <w:rPr>
          <w:sz w:val="18"/>
          <w:szCs w:val="18"/>
          <w:lang w:val="bs-Latn-BA"/>
        </w:rPr>
        <w:t>̄</w:t>
      </w:r>
      <w:r w:rsidRPr="00E522D3">
        <w:rPr>
          <w:rFonts w:ascii="Adobe Garamond Pro" w:hAnsi="Adobe Garamond Pro" w:cstheme="majorBidi"/>
          <w:sz w:val="18"/>
          <w:szCs w:val="18"/>
          <w:lang w:val="bs-Latn-BA"/>
        </w:rPr>
        <w:t>te</w:t>
      </w:r>
      <w:r w:rsidRPr="00E522D3">
        <w:rPr>
          <w:sz w:val="18"/>
          <w:szCs w:val="18"/>
          <w:lang w:val="bs-Latn-BA"/>
        </w:rPr>
        <w:t>̄</w:t>
      </w:r>
      <w:r w:rsidRPr="00E522D3">
        <w:rPr>
          <w:rFonts w:ascii="Adobe Garamond Pro" w:hAnsi="Adobe Garamond Pro" w:cstheme="majorBidi"/>
          <w:sz w:val="18"/>
          <w:szCs w:val="18"/>
          <w:lang w:val="bs-Latn-BA"/>
        </w:rPr>
        <w:t>s Getime</w:t>
      </w:r>
      <w:r w:rsidRPr="00E522D3">
        <w:rPr>
          <w:sz w:val="18"/>
          <w:szCs w:val="18"/>
          <w:lang w:val="bs-Latn-BA"/>
        </w:rPr>
        <w:t>̄</w:t>
      </w:r>
      <w:r w:rsidRPr="00E522D3">
        <w:rPr>
          <w:rFonts w:ascii="Adobe Garamond Pro" w:hAnsi="Adobe Garamond Pro" w:cstheme="majorBidi"/>
          <w:sz w:val="18"/>
          <w:szCs w:val="18"/>
          <w:lang w:val="bs-Latn-BA"/>
        </w:rPr>
        <w:t>s; Gre</w:t>
      </w:r>
      <w:r w:rsidRPr="00E522D3">
        <w:rPr>
          <w:sz w:val="18"/>
          <w:szCs w:val="18"/>
          <w:lang w:val="bs-Latn-BA"/>
        </w:rPr>
        <w:t>̄</w:t>
      </w:r>
      <w:r w:rsidRPr="00E522D3">
        <w:rPr>
          <w:rFonts w:ascii="Adobe Garamond Pro" w:hAnsi="Adobe Garamond Pro" w:cstheme="majorBidi"/>
          <w:sz w:val="18"/>
          <w:szCs w:val="18"/>
          <w:lang w:val="bs-Latn-BA"/>
        </w:rPr>
        <w:t>gore</w:t>
      </w:r>
      <w:r w:rsidRPr="00E522D3">
        <w:rPr>
          <w:sz w:val="18"/>
          <w:szCs w:val="18"/>
          <w:lang w:val="bs-Latn-BA"/>
        </w:rPr>
        <w:t>̄</w:t>
      </w:r>
      <w:r w:rsidRPr="00E522D3">
        <w:rPr>
          <w:rFonts w:ascii="Adobe Garamond Pro" w:hAnsi="Adobe Garamond Pro" w:cstheme="majorBidi"/>
          <w:sz w:val="18"/>
          <w:szCs w:val="18"/>
          <w:lang w:val="bs-Latn-BA"/>
        </w:rPr>
        <w:t xml:space="preserve">s Kaukalas, </w:t>
      </w:r>
      <w:r w:rsidRPr="00E522D3">
        <w:rPr>
          <w:rFonts w:ascii="Adobe Garamond Pro" w:hAnsi="Adobe Garamond Pro" w:cstheme="majorBidi"/>
          <w:i/>
          <w:iCs/>
          <w:sz w:val="18"/>
          <w:szCs w:val="18"/>
          <w:lang w:val="bs-Latn-BA"/>
        </w:rPr>
        <w:t>Overcoming fragmentation in Southeast Europe : spatial development trends and integration potential</w:t>
      </w:r>
      <w:r w:rsidRPr="00E522D3">
        <w:rPr>
          <w:rFonts w:ascii="Adobe Garamond Pro" w:hAnsi="Adobe Garamond Pro" w:cstheme="majorBidi"/>
          <w:sz w:val="18"/>
          <w:szCs w:val="18"/>
          <w:lang w:val="bs-Latn-BA"/>
        </w:rPr>
        <w:t>, Aldershot, Hampshire, str. 4.</w:t>
      </w:r>
    </w:p>
  </w:footnote>
  <w:footnote w:id="34">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CARDS program je za period 2000-2006 godine za BiH imao budžet od 4,65 milijardi eura, kasnije preobražen u IPA (Instrument pretpristupne pomoći) za koji je u periodu od 2007-2010 za BiH dato 332 miliona eura.</w:t>
      </w:r>
    </w:p>
  </w:footnote>
  <w:footnote w:id="35">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Iako je BiH potpisala sporazum SPP 2008. godine, značajni pomak u njegovoj implementaciji nije učinjen. Na snazi je Privremeni sporazum (</w:t>
      </w:r>
      <w:r w:rsidRPr="00E522D3">
        <w:rPr>
          <w:rFonts w:ascii="Adobe Garamond Pro" w:hAnsi="Adobe Garamond Pro" w:cstheme="majorBidi"/>
          <w:i/>
          <w:iCs/>
          <w:sz w:val="18"/>
          <w:szCs w:val="18"/>
          <w:lang w:val="bs-Latn-BA"/>
        </w:rPr>
        <w:t>Intergim agreement</w:t>
      </w:r>
      <w:r w:rsidRPr="00E522D3">
        <w:rPr>
          <w:rFonts w:ascii="Adobe Garamond Pro" w:hAnsi="Adobe Garamond Pro" w:cstheme="majorBidi"/>
          <w:sz w:val="18"/>
          <w:szCs w:val="18"/>
          <w:lang w:val="bs-Latn-BA"/>
        </w:rPr>
        <w:t>) koji uređuje stvari iz oblasti trgovine i transporta. V. više u Halilović, nav. djelo str. 217-220.</w:t>
      </w:r>
    </w:p>
  </w:footnote>
  <w:footnote w:id="36">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A. McTaggart, ‘EU Hails Balkan Free Trade Deal as Milestone,’ </w:t>
      </w:r>
      <w:r w:rsidRPr="00E522D3">
        <w:rPr>
          <w:rFonts w:ascii="Adobe Garamond Pro" w:hAnsi="Adobe Garamond Pro" w:cstheme="majorBidi"/>
          <w:i/>
          <w:iCs/>
          <w:sz w:val="18"/>
          <w:szCs w:val="18"/>
          <w:lang w:val="bs-Latn-BA"/>
        </w:rPr>
        <w:t>Balkan Insight</w:t>
      </w:r>
      <w:r w:rsidRPr="00E522D3">
        <w:rPr>
          <w:rFonts w:ascii="Adobe Garamond Pro" w:hAnsi="Adobe Garamond Pro" w:cstheme="majorBidi"/>
          <w:sz w:val="18"/>
          <w:szCs w:val="18"/>
          <w:lang w:val="bs-Latn-BA"/>
        </w:rPr>
        <w:t>, 26 October 2006;</w:t>
      </w:r>
    </w:p>
  </w:footnote>
  <w:footnote w:id="37">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Schake K. (2002), </w:t>
      </w:r>
      <w:r w:rsidRPr="00E522D3">
        <w:rPr>
          <w:rFonts w:ascii="Adobe Garamond Pro" w:hAnsi="Adobe Garamond Pro" w:cstheme="majorBidi"/>
          <w:i/>
          <w:iCs/>
          <w:sz w:val="18"/>
          <w:szCs w:val="18"/>
          <w:lang w:val="bs-Latn-BA"/>
        </w:rPr>
        <w:t>Constructive Duplication: Reducing EU Reliance on US Military Assets</w:t>
      </w:r>
      <w:r w:rsidRPr="00E522D3">
        <w:rPr>
          <w:rFonts w:ascii="Adobe Garamond Pro" w:hAnsi="Adobe Garamond Pro" w:cstheme="majorBidi"/>
          <w:sz w:val="18"/>
          <w:szCs w:val="18"/>
          <w:lang w:val="bs-Latn-BA"/>
        </w:rPr>
        <w:t>, Center for European Reform, London,str. 24.</w:t>
      </w:r>
    </w:p>
  </w:footnote>
  <w:footnote w:id="38">
    <w:p w:rsidR="004C77A0" w:rsidRPr="00E522D3" w:rsidRDefault="004C77A0" w:rsidP="004C77A0">
      <w:pPr>
        <w:pStyle w:val="FootnoteText"/>
        <w:jc w:val="both"/>
        <w:rPr>
          <w:rFonts w:ascii="Adobe Garamond Pro" w:hAnsi="Adobe Garamond Pro" w:cstheme="majorBidi"/>
          <w:i/>
          <w:iCs/>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Ćurak, Nerzuk (2011), </w:t>
      </w:r>
      <w:r w:rsidRPr="00E522D3">
        <w:rPr>
          <w:rFonts w:ascii="Adobe Garamond Pro" w:hAnsi="Adobe Garamond Pro" w:cstheme="majorBidi"/>
          <w:i/>
          <w:iCs/>
          <w:sz w:val="18"/>
          <w:szCs w:val="18"/>
          <w:lang w:val="bs-Latn-BA"/>
        </w:rPr>
        <w:t>Izvještaj iz periferne zemlje: gramatika geopolitike</w:t>
      </w:r>
      <w:r w:rsidRPr="00E522D3">
        <w:rPr>
          <w:rFonts w:ascii="Adobe Garamond Pro" w:hAnsi="Adobe Garamond Pro" w:cstheme="majorBidi"/>
          <w:sz w:val="18"/>
          <w:szCs w:val="18"/>
          <w:lang w:val="bs-Latn-BA"/>
        </w:rPr>
        <w:t>, FPN, Sarajevo, str. 82</w:t>
      </w:r>
    </w:p>
  </w:footnote>
  <w:footnote w:id="39">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„Vrata NATO-a za BiH i dalje otvorena, ali...“, http://www.dw.de/vrata-nato-a-za-bih-i-dalje-otvorena-ali/a-17503994</w:t>
      </w:r>
    </w:p>
  </w:footnote>
  <w:footnote w:id="40">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Gross, Eva (2007) „Civilian and Military Missions in the Western Balkans“, u  Eva Gross, Isabelle Ioannides, Ana E. Juncos, Michael Emerson, Ursula C. Schroeder (urednici), </w:t>
      </w:r>
      <w:r w:rsidRPr="00E522D3">
        <w:rPr>
          <w:rFonts w:ascii="Adobe Garamond Pro" w:hAnsi="Adobe Garamond Pro" w:cstheme="majorBidi"/>
          <w:i/>
          <w:iCs/>
          <w:sz w:val="18"/>
          <w:szCs w:val="18"/>
          <w:lang w:val="bs-Latn-BA"/>
        </w:rPr>
        <w:t>Evaluating the EU's Crisis Missions in the Balkans,</w:t>
      </w:r>
      <w:r w:rsidRPr="00E522D3">
        <w:rPr>
          <w:rFonts w:ascii="Adobe Garamond Pro" w:hAnsi="Adobe Garamond Pro" w:cstheme="majorBidi"/>
          <w:sz w:val="18"/>
          <w:szCs w:val="18"/>
          <w:lang w:val="bs-Latn-BA"/>
        </w:rPr>
        <w:t xml:space="preserve"> CEPS, Brussels, str. 139-142</w:t>
      </w:r>
    </w:p>
  </w:footnote>
  <w:footnote w:id="41">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Ashton: EU želi jedinstvenu, stabilnu i prosperitetnu BiH, Al Jazeera 13.3.2014. http://balkans.aljazeera.net/vijesti/ashton-eu-zeli-jedinstvenu-stabilnu-i-prosperitetnu-bih</w:t>
      </w:r>
      <w:bookmarkStart w:id="0" w:name="_GoBack"/>
      <w:bookmarkEnd w:id="0"/>
      <w:r w:rsidRPr="00E522D3">
        <w:rPr>
          <w:rFonts w:ascii="Adobe Garamond Pro" w:hAnsi="Adobe Garamond Pro" w:cstheme="majorBidi"/>
          <w:sz w:val="18"/>
          <w:szCs w:val="18"/>
          <w:lang w:val="bs-Latn-BA"/>
        </w:rPr>
        <w:t xml:space="preserve"> (Pristupano 7.4.2014.)</w:t>
      </w:r>
    </w:p>
  </w:footnote>
  <w:footnote w:id="42">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i/>
          <w:iCs/>
          <w:sz w:val="18"/>
          <w:szCs w:val="18"/>
          <w:lang w:val="bs-Latn-BA"/>
        </w:rPr>
        <w:t>European Union, Enlargement Strategy and Main Challenges 2007 – 2008</w:t>
      </w:r>
      <w:r w:rsidRPr="00E522D3">
        <w:rPr>
          <w:rFonts w:ascii="Adobe Garamond Pro" w:hAnsi="Adobe Garamond Pro" w:cstheme="majorBidi"/>
          <w:sz w:val="18"/>
          <w:szCs w:val="18"/>
          <w:lang w:val="bs-Latn-BA"/>
        </w:rPr>
        <w:t>, European Commission, Brussels, 6 November 2007.</w:t>
      </w:r>
    </w:p>
  </w:footnote>
  <w:footnote w:id="43">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Belloni Roberto (2009), „European Integration and the Western Balkans: Lessons, Prospects, and Limits“, </w:t>
      </w:r>
      <w:r w:rsidRPr="00E522D3">
        <w:rPr>
          <w:rFonts w:ascii="Adobe Garamond Pro" w:hAnsi="Adobe Garamond Pro" w:cstheme="majorBidi"/>
          <w:i/>
          <w:iCs/>
          <w:sz w:val="18"/>
          <w:szCs w:val="18"/>
          <w:lang w:val="bs-Latn-BA"/>
        </w:rPr>
        <w:t>Journal of Balkan and Near Eastern Studies</w:t>
      </w:r>
      <w:r w:rsidRPr="00E522D3">
        <w:rPr>
          <w:rFonts w:ascii="Adobe Garamond Pro" w:hAnsi="Adobe Garamond Pro" w:cstheme="majorBidi"/>
          <w:sz w:val="18"/>
          <w:szCs w:val="18"/>
          <w:lang w:val="bs-Latn-BA"/>
        </w:rPr>
        <w:t>, Volume 11, Issue 3, str. 320.</w:t>
      </w:r>
    </w:p>
  </w:footnote>
  <w:footnote w:id="44">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V. više Noutcheva, Gergana (2012), </w:t>
      </w:r>
      <w:r w:rsidRPr="00E522D3">
        <w:rPr>
          <w:rFonts w:ascii="Adobe Garamond Pro" w:hAnsi="Adobe Garamond Pro" w:cstheme="majorBidi"/>
          <w:i/>
          <w:iCs/>
          <w:sz w:val="18"/>
          <w:szCs w:val="18"/>
          <w:lang w:val="bs-Latn-BA"/>
        </w:rPr>
        <w:t>European Foreign Policy and the Challenges of Balkan Accession</w:t>
      </w:r>
      <w:r w:rsidRPr="00E522D3">
        <w:rPr>
          <w:rFonts w:ascii="Adobe Garamond Pro" w:hAnsi="Adobe Garamond Pro" w:cstheme="majorBidi"/>
          <w:sz w:val="18"/>
          <w:szCs w:val="18"/>
          <w:lang w:val="bs-Latn-BA"/>
        </w:rPr>
        <w:t>, Routledge, New York/London,  str. 67-68.</w:t>
      </w:r>
    </w:p>
  </w:footnote>
  <w:footnote w:id="45">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Halilović (2013), nav. djelo, str. 247.</w:t>
      </w:r>
    </w:p>
  </w:footnote>
  <w:footnote w:id="46">
    <w:p w:rsidR="004C77A0" w:rsidRPr="00E522D3" w:rsidRDefault="004C77A0" w:rsidP="004C77A0">
      <w:pPr>
        <w:pStyle w:val="FootnoteText"/>
        <w:jc w:val="both"/>
        <w:rPr>
          <w:rFonts w:ascii="Adobe Garamond Pro" w:hAnsi="Adobe Garamond Pro" w:cstheme="majorBidi"/>
          <w:sz w:val="18"/>
          <w:szCs w:val="18"/>
          <w:lang w:val="bs-Latn-BA"/>
        </w:rPr>
      </w:pPr>
      <w:r w:rsidRPr="00E522D3">
        <w:rPr>
          <w:rStyle w:val="FootnoteReference"/>
          <w:rFonts w:ascii="Adobe Garamond Pro" w:hAnsi="Adobe Garamond Pro" w:cstheme="majorBidi"/>
          <w:sz w:val="18"/>
          <w:szCs w:val="18"/>
          <w:lang w:val="bs-Latn-BA"/>
        </w:rPr>
        <w:footnoteRef/>
      </w:r>
      <w:r w:rsidRPr="00E522D3">
        <w:rPr>
          <w:rFonts w:ascii="Adobe Garamond Pro" w:hAnsi="Adobe Garamond Pro" w:cstheme="majorBidi"/>
          <w:sz w:val="18"/>
          <w:szCs w:val="18"/>
          <w:lang w:val="bs-Latn-BA"/>
        </w:rPr>
        <w:t xml:space="preserve">Ovdje se koristim terminom Halford John Mackindera, ali ne i njegovom shvatanju svijeta izloženom u članku„Geografski stožer povijesti“, prezentiranom 1904. godine.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C77A0"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Kemal Obad</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4C77A0" w:rsidRDefault="004C77A0" w:rsidP="003D399B">
    <w:pPr>
      <w:pStyle w:val="Header"/>
      <w:pBdr>
        <w:bottom w:val="single" w:sz="4" w:space="1" w:color="auto"/>
      </w:pBdr>
      <w:jc w:val="right"/>
    </w:pPr>
    <w:r w:rsidRPr="004C77A0">
      <w:rPr>
        <w:rFonts w:ascii="Adobe Garamond Pro" w:hAnsi="Adobe Garamond Pro"/>
        <w:sz w:val="20"/>
        <w:szCs w:val="20"/>
        <w:lang w:val="bs-Latn-BA"/>
      </w:rPr>
      <w:t>Aspekti vanjske politike Evropske unije u Bosni i Hercegovini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4D7705" w:rsidP="00D85967">
    <w:pPr>
      <w:pStyle w:val="Header"/>
      <w:jc w:val="right"/>
      <w:rPr>
        <w:rFonts w:ascii="Adobe Garamond Pro" w:hAnsi="Adobe Garamond Pro" w:cs="Times New Roman"/>
        <w:b/>
        <w:sz w:val="20"/>
        <w:szCs w:val="20"/>
        <w:lang w:val="bs-Latn-BA"/>
      </w:rPr>
    </w:pPr>
    <w:r w:rsidRPr="004D7705">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4C77A0">
      <w:rPr>
        <w:rFonts w:ascii="Adobe Garamond Pro" w:hAnsi="Adobe Garamond Pro" w:cs="Times New Roman"/>
        <w:b/>
        <w:noProof/>
        <w:sz w:val="20"/>
        <w:szCs w:val="20"/>
        <w:lang w:val="bs-Latn-BA" w:eastAsia="bs-Latn-BA"/>
      </w:rPr>
      <w:t>PREGLEDN</w:t>
    </w:r>
    <w:r w:rsidR="0071151F" w:rsidRPr="0071151F">
      <w:rPr>
        <w:rFonts w:ascii="Adobe Garamond Pro" w:hAnsi="Adobe Garamond Pro" w:cs="Times New Roman"/>
        <w:b/>
        <w:noProof/>
        <w:sz w:val="20"/>
        <w:szCs w:val="20"/>
        <w:lang w:val="bs-Latn-BA" w:eastAsia="bs-Latn-BA"/>
      </w:rPr>
      <w:t>I NAUČNI RAD</w:t>
    </w:r>
  </w:p>
  <w:p w:rsidR="00FF280B" w:rsidRPr="006552CA" w:rsidRDefault="004C77A0" w:rsidP="004C77A0">
    <w:pPr>
      <w:pStyle w:val="Header"/>
      <w:jc w:val="right"/>
      <w:rPr>
        <w:rFonts w:ascii="Adobe Garamond Pro" w:hAnsi="Adobe Garamond Pro"/>
        <w:b/>
        <w:sz w:val="20"/>
        <w:szCs w:val="20"/>
      </w:rPr>
    </w:pPr>
    <w:r w:rsidRPr="004C77A0">
      <w:rPr>
        <w:rFonts w:ascii="Adobe Garamond Pro" w:hAnsi="Adobe Garamond Pro"/>
        <w:sz w:val="20"/>
        <w:szCs w:val="20"/>
      </w:rPr>
      <w:t>UDK 327:061.1EU](497.6)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977D3C"/>
    <w:multiLevelType w:val="hybridMultilevel"/>
    <w:tmpl w:val="B3763BC0"/>
    <w:lvl w:ilvl="0" w:tplc="141A0011">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86645"/>
    <w:multiLevelType w:val="hybridMultilevel"/>
    <w:tmpl w:val="409AE9A0"/>
    <w:lvl w:ilvl="0" w:tplc="141A000F">
      <w:start w:val="1"/>
      <w:numFmt w:val="decimal"/>
      <w:lvlText w:val="%1."/>
      <w:lvlJc w:val="left"/>
      <w:pPr>
        <w:ind w:left="720" w:hanging="360"/>
      </w:pPr>
      <w:rPr>
        <w:rFonts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8">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D669A1"/>
    <w:multiLevelType w:val="hybridMultilevel"/>
    <w:tmpl w:val="19E81E38"/>
    <w:lvl w:ilvl="0" w:tplc="141A000F">
      <w:start w:val="1"/>
      <w:numFmt w:val="decimal"/>
      <w:lvlText w:val="%1."/>
      <w:lvlJc w:val="left"/>
      <w:pPr>
        <w:ind w:left="720" w:hanging="360"/>
      </w:pPr>
      <w:rPr>
        <w:rFonts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1"/>
  </w:num>
  <w:num w:numId="5">
    <w:abstractNumId w:val="9"/>
  </w:num>
  <w:num w:numId="6">
    <w:abstractNumId w:val="10"/>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1D61"/>
    <w:rsid w:val="002A4A58"/>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399B"/>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A36"/>
    <w:rsid w:val="004C77A0"/>
    <w:rsid w:val="004D6203"/>
    <w:rsid w:val="004D7705"/>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151F"/>
    <w:rsid w:val="00713C82"/>
    <w:rsid w:val="00713CAD"/>
    <w:rsid w:val="00714555"/>
    <w:rsid w:val="007236FD"/>
    <w:rsid w:val="00741A54"/>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24DAA"/>
    <w:rsid w:val="00A40D8E"/>
    <w:rsid w:val="00A458A5"/>
    <w:rsid w:val="00A54D12"/>
    <w:rsid w:val="00A6633C"/>
    <w:rsid w:val="00A73AFF"/>
    <w:rsid w:val="00A76D41"/>
    <w:rsid w:val="00A83BDB"/>
    <w:rsid w:val="00A865DB"/>
    <w:rsid w:val="00AA3155"/>
    <w:rsid w:val="00AA55B0"/>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6604"/>
    <w:rsid w:val="00D84AA3"/>
    <w:rsid w:val="00D85967"/>
    <w:rsid w:val="00D92C4B"/>
    <w:rsid w:val="00D93FE7"/>
    <w:rsid w:val="00D9549C"/>
    <w:rsid w:val="00D97725"/>
    <w:rsid w:val="00DA3F14"/>
    <w:rsid w:val="00DA6AD7"/>
    <w:rsid w:val="00DB73D7"/>
    <w:rsid w:val="00DC3D12"/>
    <w:rsid w:val="00DC55CE"/>
    <w:rsid w:val="00DC582A"/>
    <w:rsid w:val="00DE357D"/>
    <w:rsid w:val="00DF646E"/>
    <w:rsid w:val="00E02286"/>
    <w:rsid w:val="00E030D6"/>
    <w:rsid w:val="00E178B6"/>
    <w:rsid w:val="00E25C98"/>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05"/>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60F8-61E4-4CDD-A17A-40563953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5580</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cp:revision>
  <dcterms:created xsi:type="dcterms:W3CDTF">2014-04-30T23:38:00Z</dcterms:created>
  <dcterms:modified xsi:type="dcterms:W3CDTF">2014-05-01T16:05:00Z</dcterms:modified>
</cp:coreProperties>
</file>