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2B" w:rsidRPr="007D53F8" w:rsidRDefault="00373B2B" w:rsidP="00373B2B">
      <w:pPr>
        <w:pStyle w:val="Heading1"/>
        <w:tabs>
          <w:tab w:val="left" w:pos="993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53F8">
        <w:rPr>
          <w:rFonts w:ascii="Times New Roman" w:hAnsi="Times New Roman" w:cs="Times New Roman"/>
          <w:color w:val="auto"/>
          <w:sz w:val="24"/>
          <w:szCs w:val="24"/>
        </w:rPr>
        <w:t>KLASİK TÜRK EDEBİYATINDA HAYÂLLE OLUŞTURULAN EDEBÎ TERİMLERİN KULLANIMLARI</w:t>
      </w:r>
    </w:p>
    <w:p w:rsidR="00373B2B" w:rsidRPr="007D53F8" w:rsidRDefault="00373B2B" w:rsidP="00373B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B2B" w:rsidRPr="007D53F8" w:rsidRDefault="00373B2B" w:rsidP="00373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İhsan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BULUT</w:t>
      </w:r>
    </w:p>
    <w:p w:rsidR="00373B2B" w:rsidRPr="007D53F8" w:rsidRDefault="00373B2B" w:rsidP="00373B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İshık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Erbil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Irak</w:t>
      </w:r>
      <w:proofErr w:type="spellEnd"/>
    </w:p>
    <w:p w:rsidR="00373B2B" w:rsidRPr="007D53F8" w:rsidRDefault="00373B2B" w:rsidP="00373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Dakik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Tezkire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373B2B" w:rsidRPr="007D53F8" w:rsidRDefault="00373B2B" w:rsidP="00373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373B2B" w:rsidRPr="007D53F8" w:rsidRDefault="00373B2B" w:rsidP="00373B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tasavvufî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sıkça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kelime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karşımıza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çıkmaktadı</w:t>
      </w:r>
      <w:r w:rsidRPr="007D53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dalında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geçmişte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terimlerin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tezkirelerdeki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yüklendikleri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önümüzde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terimler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tutan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müştâk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kullanımları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aydınlığa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kavuşturulması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Bildirimizde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şi‘r-i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hayâl-engîz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ebyât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hayâl-engîz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nâzım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dakîk-hayâl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hayâlât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garîb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hayâl-güster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hâs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rengîn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muhayyel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şebistân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nâzik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kej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yanlış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hâm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fânûs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hayâl-i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zıll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tamlamalarıyla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asırlardan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seçilmiş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tezkirelerdeki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kullanımlarını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güdülmüştür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052" w:rsidRDefault="007C0052"/>
    <w:sectPr w:rsidR="007C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B2B"/>
    <w:rsid w:val="00373B2B"/>
    <w:rsid w:val="007C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2013-05-28T12:14:00Z</dcterms:created>
  <dcterms:modified xsi:type="dcterms:W3CDTF">2013-05-28T12:14:00Z</dcterms:modified>
</cp:coreProperties>
</file>