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78" w:rsidRPr="007D53F8" w:rsidRDefault="00DC3778" w:rsidP="00DC3778">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AYVAZ DEDE’NİN İSLAMİ YÖNDEN BOŞNAKLARA ETKİSİ VE AYVAZ DEDE ŞENLİKLERİNE GENEL BAKIŞ</w:t>
      </w:r>
    </w:p>
    <w:p w:rsidR="00DC3778" w:rsidRPr="007D53F8" w:rsidRDefault="00DC3778" w:rsidP="00DC3778">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Yunus Emre TERZİ</w:t>
      </w:r>
    </w:p>
    <w:p w:rsidR="00DC3778" w:rsidRPr="007D53F8" w:rsidRDefault="00DC3778" w:rsidP="00DC3778">
      <w:pPr>
        <w:spacing w:after="120" w:line="240" w:lineRule="auto"/>
        <w:jc w:val="center"/>
        <w:rPr>
          <w:rFonts w:ascii="Times New Roman" w:hAnsi="Times New Roman" w:cs="Times New Roman"/>
          <w:sz w:val="24"/>
          <w:szCs w:val="24"/>
        </w:rPr>
      </w:pPr>
      <w:r w:rsidRPr="007D53F8">
        <w:rPr>
          <w:rFonts w:ascii="Times New Roman" w:hAnsi="Times New Roman" w:cs="Times New Roman"/>
          <w:sz w:val="24"/>
          <w:szCs w:val="24"/>
        </w:rPr>
        <w:t>International Burch University, Türk Dili ve Edebiyatı Öğretmenliği Bölümü, Saraybosna / Bosna Hersek</w:t>
      </w:r>
    </w:p>
    <w:p w:rsidR="00DC3778" w:rsidRPr="007D53F8" w:rsidRDefault="00DC3778" w:rsidP="00DC3778">
      <w:pPr>
        <w:spacing w:line="240" w:lineRule="auto"/>
        <w:rPr>
          <w:rFonts w:ascii="Times New Roman" w:hAnsi="Times New Roman" w:cs="Times New Roman"/>
          <w:sz w:val="24"/>
          <w:szCs w:val="24"/>
        </w:rPr>
      </w:pPr>
      <w:r w:rsidRPr="007D53F8">
        <w:rPr>
          <w:rFonts w:ascii="Times New Roman" w:hAnsi="Times New Roman" w:cs="Times New Roman"/>
          <w:b/>
          <w:sz w:val="24"/>
          <w:szCs w:val="24"/>
        </w:rPr>
        <w:t>Anahtar Kelimeler:</w:t>
      </w:r>
      <w:r w:rsidRPr="007D53F8">
        <w:rPr>
          <w:rFonts w:ascii="Times New Roman" w:hAnsi="Times New Roman" w:cs="Times New Roman"/>
          <w:sz w:val="24"/>
          <w:szCs w:val="24"/>
        </w:rPr>
        <w:t xml:space="preserve"> Boşnak Halk Edebiyatı, Ayvaz Dede, Ayvaz Dede Şenlikleri.</w:t>
      </w:r>
    </w:p>
    <w:p w:rsidR="00DC3778" w:rsidRPr="007D53F8" w:rsidRDefault="00DC3778" w:rsidP="00DC3778">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DC3778" w:rsidRPr="007D53F8" w:rsidRDefault="00DC3778" w:rsidP="00DC3778">
      <w:pPr>
        <w:spacing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Yüzyıllar boyu Osmanlı Devleti’nin hâkimiyetinde kalmış olan, Balkanların içinde bize en yakın olanı Bosna’da Türk kültürünün tesiri çok fazla olmuştur. Yüzyıllar boyu bu etkileşimde İslamiyet’in önemli bir rolü vardır. İslamiyet Boşnaklarla aramızda gönül bağı kurmuştur. Bu bağlamda Bosna-Hersek’in Yunus Emre’si sayılan Horasan erenlerinden Ayvaz Dede’nin de Bogomilizm dini’ni yaşayan Boşnaklarla gönül bağı vardır.  Bu çalışmada Bogomilizm dinini yaşayan Boşnaklara Ayvaz Dede’nin İslami</w:t>
      </w:r>
      <w:r>
        <w:rPr>
          <w:rFonts w:ascii="Times New Roman" w:hAnsi="Times New Roman" w:cs="Times New Roman"/>
          <w:sz w:val="24"/>
          <w:szCs w:val="24"/>
        </w:rPr>
        <w:t xml:space="preserve"> yaşamının etkisi araştırılmışt</w:t>
      </w:r>
      <w:r w:rsidRPr="007D53F8">
        <w:rPr>
          <w:rFonts w:ascii="Times New Roman" w:hAnsi="Times New Roman" w:cs="Times New Roman"/>
          <w:sz w:val="24"/>
          <w:szCs w:val="24"/>
        </w:rPr>
        <w:t>ır. Bununla birlikte Boşnak halkının gönlünde taht kuran, Yugoslavya Devleti’nin varlık gösterdiği zamanda kutlanmayan veya kutlanamayan lakin unutulmayan kendi devletlerini kurduklarında anılan Ayvaz Dede Şenliklerine genel bir bakışıda ele almaktadır.</w:t>
      </w:r>
    </w:p>
    <w:p w:rsidR="00A0573A" w:rsidRDefault="00A0573A"/>
    <w:sectPr w:rsidR="00A05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C3778"/>
    <w:rsid w:val="00A0573A"/>
    <w:rsid w:val="00DC3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2013-05-28T13:12:00Z</dcterms:created>
  <dcterms:modified xsi:type="dcterms:W3CDTF">2013-05-28T13:12:00Z</dcterms:modified>
</cp:coreProperties>
</file>