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7A384D" w:rsidRPr="007A384D" w:rsidRDefault="007A384D" w:rsidP="007A384D">
      <w:pPr>
        <w:spacing w:after="0" w:line="240" w:lineRule="auto"/>
        <w:jc w:val="center"/>
        <w:rPr>
          <w:rFonts w:ascii="Adobe Garamond Pro" w:hAnsi="Adobe Garamond Pro" w:cs="Times New Roman"/>
          <w:b/>
          <w:sz w:val="28"/>
          <w:szCs w:val="28"/>
        </w:rPr>
      </w:pPr>
      <w:r w:rsidRPr="007A384D">
        <w:rPr>
          <w:rFonts w:ascii="Adobe Garamond Pro" w:hAnsi="Adobe Garamond Pro" w:cs="Times New Roman"/>
          <w:b/>
          <w:sz w:val="28"/>
          <w:szCs w:val="28"/>
        </w:rPr>
        <w:t>Zaštita temeljnih prava u europskoj uniji nakon stupanja na snagu lisabonskog ugovora</w:t>
      </w:r>
    </w:p>
    <w:p w:rsidR="002D2430" w:rsidRPr="00747375" w:rsidRDefault="002D2430" w:rsidP="007A384D">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7A384D"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Dr. sc</w:t>
      </w:r>
      <w:r w:rsidR="00A72A73">
        <w:rPr>
          <w:rFonts w:ascii="Adobe Garamond Pro" w:hAnsi="Adobe Garamond Pro"/>
          <w:b/>
        </w:rPr>
        <w:t xml:space="preserve">. </w:t>
      </w:r>
      <w:r>
        <w:rPr>
          <w:rFonts w:ascii="Adobe Garamond Pro" w:hAnsi="Adobe Garamond Pro"/>
          <w:b/>
        </w:rPr>
        <w:t>Sanja Bazina</w:t>
      </w:r>
    </w:p>
    <w:p w:rsidR="002D2430" w:rsidRDefault="007A384D" w:rsidP="002D2430">
      <w:pPr>
        <w:pStyle w:val="NoSpacing"/>
        <w:jc w:val="center"/>
        <w:rPr>
          <w:rFonts w:ascii="Adobe Garamond Pro" w:hAnsi="Adobe Garamond Pro"/>
        </w:rPr>
      </w:pPr>
      <w:r w:rsidRPr="007A384D">
        <w:rPr>
          <w:rFonts w:ascii="Adobe Garamond Pro" w:hAnsi="Adobe Garamond Pro"/>
        </w:rPr>
        <w:t xml:space="preserve">Direkcija za europske integracije Vijeća </w:t>
      </w:r>
      <w:r w:rsidRPr="007A384D">
        <w:rPr>
          <w:rFonts w:ascii="Adobe Garamond Pro" w:hAnsi="Adobe Garamond Pro"/>
          <w:lang w:val="hr-BA"/>
        </w:rPr>
        <w:t>ministara</w:t>
      </w:r>
      <w:r w:rsidRPr="007A384D">
        <w:rPr>
          <w:rFonts w:ascii="Adobe Garamond Pro" w:hAnsi="Adobe Garamond Pro"/>
        </w:rPr>
        <w:t xml:space="preserve"> BiH</w:t>
      </w:r>
    </w:p>
    <w:p w:rsidR="007A384D" w:rsidRPr="007A384D" w:rsidRDefault="007A384D" w:rsidP="002D2430">
      <w:pPr>
        <w:pStyle w:val="NoSpacing"/>
        <w:jc w:val="center"/>
        <w:rPr>
          <w:rFonts w:ascii="Adobe Garamond Pro" w:hAnsi="Adobe Garamond Pro"/>
          <w:i/>
        </w:rPr>
      </w:pPr>
      <w:r w:rsidRPr="007A384D">
        <w:rPr>
          <w:rFonts w:ascii="Adobe Garamond Pro" w:hAnsi="Adobe Garamond Pro"/>
          <w:i/>
        </w:rPr>
        <w:t>E-mail: sanja.bazina@dei.gov.ba</w:t>
      </w:r>
    </w:p>
    <w:p w:rsidR="007A384D" w:rsidRPr="00406E3A" w:rsidRDefault="007A384D" w:rsidP="002D2430">
      <w:pPr>
        <w:pStyle w:val="NoSpacing"/>
        <w:jc w:val="center"/>
        <w:rPr>
          <w:rFonts w:ascii="Adobe Garamond Pro" w:eastAsia="Times New Roman" w:hAnsi="Adobe Garamond Pro" w:cs="Garamond"/>
          <w:i/>
          <w:color w:val="000000"/>
          <w:lang w:val="bs-Latn-BA"/>
        </w:rPr>
      </w:pPr>
    </w:p>
    <w:p w:rsidR="002D2430" w:rsidRPr="00406E3A" w:rsidRDefault="00361CCF" w:rsidP="002D2430">
      <w:pPr>
        <w:pStyle w:val="NoSpacing"/>
        <w:jc w:val="both"/>
        <w:rPr>
          <w:rFonts w:ascii="Adobe Garamond Pro" w:eastAsia="Times New Roman" w:hAnsi="Adobe Garamond Pro" w:cs="Garamond"/>
          <w:b/>
          <w:color w:val="000000"/>
          <w:lang w:val="bs-Latn-BA"/>
        </w:rPr>
      </w:pPr>
      <w:r w:rsidRPr="00361CCF">
        <w:rPr>
          <w:rFonts w:ascii="Adobe Garamond Pro" w:hAnsi="Adobe Garamond Pro"/>
          <w:i/>
          <w:noProof/>
          <w:lang w:val="bs-Latn-BA" w:eastAsia="bs-Latn-BA"/>
        </w:rPr>
        <w:pict>
          <v:rect id="_x0000_s1035" style="position:absolute;left:0;text-align:left;margin-left:-98.15pt;margin-top:4.2pt;width:339.9pt;height:247pt;z-index:-251658240" fillcolor="#f2f2f2 [3052]" stroked="f"/>
        </w:pict>
      </w:r>
      <w:r w:rsidRPr="00361CCF">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7A384D" w:rsidRDefault="00A72A73" w:rsidP="00A72A73">
                  <w:pPr>
                    <w:spacing w:after="0" w:line="240" w:lineRule="auto"/>
                    <w:rPr>
                      <w:rFonts w:ascii="Adobe Garamond Pro" w:hAnsi="Adobe Garamond Pro"/>
                      <w:i/>
                      <w:sz w:val="20"/>
                      <w:szCs w:val="20"/>
                    </w:rPr>
                  </w:pPr>
                  <w:r w:rsidRPr="007A384D">
                    <w:rPr>
                      <w:rFonts w:ascii="Adobe Garamond Pro" w:eastAsia="Times New Roman" w:hAnsi="Adobe Garamond Pro" w:cs="Times New Roman"/>
                      <w:b/>
                      <w:i/>
                      <w:sz w:val="20"/>
                      <w:szCs w:val="20"/>
                      <w:lang w:eastAsia="bs-Latn-BA"/>
                    </w:rPr>
                    <w:t>Ključne riječi:</w:t>
                  </w:r>
                  <w:r w:rsidRPr="007A384D">
                    <w:rPr>
                      <w:rFonts w:ascii="Adobe Garamond Pro" w:eastAsia="Times New Roman" w:hAnsi="Adobe Garamond Pro" w:cs="Times New Roman"/>
                      <w:i/>
                      <w:sz w:val="20"/>
                      <w:szCs w:val="20"/>
                      <w:lang w:eastAsia="bs-Latn-BA"/>
                    </w:rPr>
                    <w:t xml:space="preserve"> </w:t>
                  </w:r>
                  <w:r w:rsidR="007A384D" w:rsidRPr="007A384D">
                    <w:rPr>
                      <w:rFonts w:ascii="Adobe Garamond Pro" w:hAnsi="Adobe Garamond Pro" w:cs="Times New Roman"/>
                      <w:i/>
                      <w:sz w:val="20"/>
                      <w:szCs w:val="20"/>
                      <w:lang w:val="hr-BA"/>
                    </w:rPr>
                    <w:t>Europska unija, Lisabonski ugovor, temeljna prava</w:t>
                  </w:r>
                </w:p>
              </w:txbxContent>
            </v:textbox>
          </v:shape>
        </w:pict>
      </w:r>
      <w:r w:rsidRPr="00361CCF">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7A384D" w:rsidRPr="007A384D" w:rsidRDefault="00BD0D1C" w:rsidP="007A384D">
                  <w:pPr>
                    <w:spacing w:after="0" w:line="240" w:lineRule="auto"/>
                    <w:jc w:val="both"/>
                    <w:rPr>
                      <w:rFonts w:ascii="Adobe Garamond Pro" w:hAnsi="Adobe Garamond Pro" w:cs="Times New Roman"/>
                      <w:i/>
                      <w:sz w:val="20"/>
                      <w:szCs w:val="20"/>
                      <w:lang w:val="hr-BA"/>
                    </w:rPr>
                  </w:pPr>
                  <w:r w:rsidRPr="007A384D">
                    <w:rPr>
                      <w:rFonts w:ascii="Adobe Garamond Pro" w:hAnsi="Adobe Garamond Pro" w:cs="Times New Roman"/>
                      <w:b/>
                      <w:i/>
                      <w:sz w:val="20"/>
                      <w:szCs w:val="20"/>
                      <w:lang w:val="hr-BA"/>
                    </w:rPr>
                    <w:t>Sažetak</w:t>
                  </w:r>
                  <w:r w:rsidR="00FF280B" w:rsidRPr="007A384D">
                    <w:rPr>
                      <w:rFonts w:ascii="Adobe Garamond Pro" w:hAnsi="Adobe Garamond Pro" w:cs="Times New Roman"/>
                      <w:b/>
                      <w:i/>
                      <w:sz w:val="20"/>
                      <w:szCs w:val="20"/>
                      <w:lang w:val="hr-BA"/>
                    </w:rPr>
                    <w:t xml:space="preserve">: </w:t>
                  </w:r>
                  <w:r w:rsidR="007A384D" w:rsidRPr="007A384D">
                    <w:rPr>
                      <w:rFonts w:ascii="Adobe Garamond Pro" w:hAnsi="Adobe Garamond Pro" w:cs="Times New Roman"/>
                      <w:i/>
                      <w:sz w:val="20"/>
                      <w:szCs w:val="20"/>
                      <w:lang w:val="hr-BA"/>
                    </w:rPr>
                    <w:t>Lisabonski ugovor, točnije, Ugovor iz Lisabona o izmjenama i dopunama Ugovora o Europskoj uniji i Ugovora o osnivanju Europske zajednice, stupio je na snagu 1. prosinca 2009. godine. Ovaj reformski ugovor donio je brojne novine u različitim područjima prava Europske unije pa tako i u odnosu na zaštitu temeljnih prava. S jedne strane je Europska povelja o temeljnim pravima postala pravno obvezujući instrument, a time i dio primarnog prava EU. S druge strane Lisabonskim ugovorom su osigurani pravni uvjeti za pristupanje Europske unije Europskoj konvenciji za zaštitu ljudskih prava i temeljnih sloboda. U ovom radu bit će dakle predstavljene promjene pravnoga temelja za zaštitu temeljnih prava u Europskoj uniji, uzrokovane Lisabonskim ugovorom. Pored toga prošireni pravni temelj ima za posljedicu i promjene u odnosu na mogućnosti pravne zaštite ovih prava. U ovom smislu biti će istražen odnos i moguća problematika u razgraničenju nadležnosti između Suda Europske unije, Europskog suda za ljudska prava te ustavnih sudova zemalja članica.</w:t>
                  </w:r>
                </w:p>
                <w:p w:rsidR="00FF280B" w:rsidRPr="007A384D" w:rsidRDefault="00FF280B" w:rsidP="007A384D">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242AD7" w:rsidRDefault="002D2430" w:rsidP="00242AD7">
      <w:pPr>
        <w:spacing w:after="0" w:line="240" w:lineRule="auto"/>
        <w:rPr>
          <w:rFonts w:ascii="Adobe Garamond Pro" w:hAnsi="Adobe Garamond Pro" w:cs="Times New Roman"/>
          <w:b/>
          <w:lang w:val="hr-BA"/>
        </w:rPr>
      </w:pPr>
      <w:r w:rsidRPr="00242AD7">
        <w:rPr>
          <w:rFonts w:ascii="Adobe Garamond Pro" w:hAnsi="Adobe Garamond Pro" w:cs="Times New Roman"/>
          <w:lang w:val="bs-Latn-BA"/>
        </w:rPr>
        <w:br w:type="page"/>
      </w:r>
      <w:r w:rsidR="007A384D" w:rsidRPr="00242AD7">
        <w:rPr>
          <w:rFonts w:ascii="Adobe Garamond Pro" w:hAnsi="Adobe Garamond Pro" w:cs="Times New Roman"/>
          <w:noProof/>
          <w:lang w:val="bs-Latn-BA" w:eastAsia="bs-Latn-BA"/>
        </w:rPr>
        <w:lastRenderedPageBreak/>
        <w:pict>
          <v:rect id="_x0000_s1039" style="position:absolute;margin-left:-91.05pt;margin-top:-7.85pt;width:339.9pt;height:257.7pt;z-index:-251655168" fillcolor="#f2f2f2 [3052]" stroked="f"/>
        </w:pict>
      </w:r>
      <w:r w:rsidR="007A384D" w:rsidRPr="00242AD7">
        <w:rPr>
          <w:rFonts w:ascii="Adobe Garamond Pro" w:hAnsi="Adobe Garamond Pro" w:cs="Times New Roman"/>
          <w:noProof/>
          <w:lang w:val="bs-Latn-BA" w:eastAsia="bs-Latn-BA"/>
        </w:rPr>
        <w:pict>
          <v:shape id="_x0000_s1038" type="#_x0000_t202" style="position:absolute;margin-left:-9.15pt;margin-top:-5.75pt;width:258pt;height:430.15pt;z-index:251660288;mso-width-relative:margin;mso-height-relative:margin" filled="f" stroked="f">
            <v:textbox style="mso-next-textbox:#_x0000_s1038">
              <w:txbxContent>
                <w:p w:rsidR="007A384D" w:rsidRPr="007A384D" w:rsidRDefault="007A384D" w:rsidP="007A384D">
                  <w:pPr>
                    <w:spacing w:after="0" w:line="240" w:lineRule="auto"/>
                    <w:jc w:val="both"/>
                    <w:rPr>
                      <w:rFonts w:ascii="Adobe Garamond Pro" w:hAnsi="Adobe Garamond Pro"/>
                      <w:i/>
                      <w:sz w:val="20"/>
                      <w:szCs w:val="20"/>
                    </w:rPr>
                  </w:pPr>
                  <w:r w:rsidRPr="007A384D">
                    <w:rPr>
                      <w:rFonts w:ascii="Adobe Garamond Pro" w:hAnsi="Adobe Garamond Pro" w:cs="Times New Roman"/>
                      <w:b/>
                      <w:i/>
                      <w:sz w:val="20"/>
                      <w:szCs w:val="20"/>
                      <w:lang w:val="hr-BA"/>
                    </w:rPr>
                    <w:t xml:space="preserve">Abstract: </w:t>
                  </w:r>
                  <w:r w:rsidRPr="007A384D">
                    <w:rPr>
                      <w:rFonts w:ascii="Adobe Garamond Pro" w:hAnsi="Adobe Garamond Pro" w:cs="Times New Roman"/>
                      <w:i/>
                      <w:sz w:val="20"/>
                      <w:szCs w:val="20"/>
                      <w:lang w:val="en-US"/>
                    </w:rPr>
                    <w:t xml:space="preserve">The Treaty of Lisbon, namely, the Treaty of Lisbon amending the Treaty on European Union and the Treaty establishing the European Community entered into force on 1 Dec 2009. This reform treaty has brought a number of innovations in different areas of EU law as well as in relation to the protection of fundamental rights. On the one hand the European Charter of Fundamental Rights became legally binding instrument, and thus part of the EU primary law. On the other hand, the Treaty of Lisbon provided legal conditions for accession of the European Union to the European Convention for the Protection of Human Rights and Fundamental Freedoms. This article will present process of changing the legal foundations for protection of fundamental rights in the European Union caused by the Treaty of Lisbon. In addition, an extended legal basis has the effect of changes in relation to possibility of legal protection of these rights. In this sense, the </w:t>
                  </w:r>
                  <w:r w:rsidRPr="007A384D">
                    <w:rPr>
                      <w:rFonts w:ascii="Adobe Garamond Pro" w:hAnsi="Adobe Garamond Pro" w:cs="Times New Roman"/>
                      <w:i/>
                      <w:sz w:val="20"/>
                      <w:szCs w:val="20"/>
                      <w:lang w:val="en-GB"/>
                    </w:rPr>
                    <w:t>relationship</w:t>
                  </w:r>
                  <w:r w:rsidRPr="007A384D">
                    <w:rPr>
                      <w:rFonts w:ascii="Adobe Garamond Pro" w:hAnsi="Adobe Garamond Pro" w:cs="Times New Roman"/>
                      <w:i/>
                      <w:sz w:val="20"/>
                      <w:szCs w:val="20"/>
                      <w:lang w:val="en-US"/>
                    </w:rPr>
                    <w:t xml:space="preserve"> and possible problems in delimitation of responsibilities between the Court of European Union, the European Court of Human Rights and the constitutional courts of the Member States</w:t>
                  </w:r>
                  <w:r w:rsidRPr="007A384D">
                    <w:rPr>
                      <w:rFonts w:ascii="Adobe Garamond Pro" w:hAnsi="Adobe Garamond Pro"/>
                      <w:i/>
                      <w:sz w:val="20"/>
                      <w:szCs w:val="20"/>
                      <w:lang w:val="en-US"/>
                    </w:rPr>
                    <w:t xml:space="preserve"> </w:t>
                  </w:r>
                  <w:r w:rsidRPr="007A384D">
                    <w:rPr>
                      <w:rFonts w:ascii="Adobe Garamond Pro" w:hAnsi="Adobe Garamond Pro" w:cs="Times New Roman"/>
                      <w:i/>
                      <w:sz w:val="20"/>
                      <w:szCs w:val="20"/>
                      <w:lang w:val="en-US"/>
                    </w:rPr>
                    <w:t>will be researched.</w:t>
                  </w:r>
                </w:p>
              </w:txbxContent>
            </v:textbox>
          </v:shape>
        </w:pict>
      </w:r>
      <w:r w:rsidR="007A384D" w:rsidRPr="00242AD7">
        <w:rPr>
          <w:rFonts w:ascii="Adobe Garamond Pro" w:hAnsi="Adobe Garamond Pro" w:cs="Times New Roman"/>
          <w:noProof/>
          <w:lang w:val="bs-Latn-BA" w:eastAsia="bs-Latn-BA"/>
        </w:rPr>
        <w:pict>
          <v:shape id="_x0000_s1037" type="#_x0000_t202" style="position:absolute;margin-left:248.2pt;margin-top:-5.6pt;width:120.65pt;height:249.2pt;z-index:251659264;mso-width-relative:margin;mso-height-relative:margin" stroked="f" strokecolor="white [3212]">
            <v:textbox style="mso-next-textbox:#_x0000_s1037">
              <w:txbxContent>
                <w:p w:rsidR="007A384D" w:rsidRPr="007A384D" w:rsidRDefault="007A384D" w:rsidP="007A384D">
                  <w:pPr>
                    <w:spacing w:after="0" w:line="240" w:lineRule="auto"/>
                    <w:rPr>
                      <w:rFonts w:ascii="Adobe Garamond Pro" w:hAnsi="Adobe Garamond Pro"/>
                      <w:i/>
                      <w:sz w:val="20"/>
                      <w:szCs w:val="20"/>
                    </w:rPr>
                  </w:pPr>
                  <w:r w:rsidRPr="007A384D">
                    <w:rPr>
                      <w:rFonts w:ascii="Adobe Garamond Pro" w:eastAsia="Times New Roman" w:hAnsi="Adobe Garamond Pro" w:cs="Times New Roman"/>
                      <w:b/>
                      <w:i/>
                      <w:sz w:val="20"/>
                      <w:szCs w:val="20"/>
                      <w:lang w:eastAsia="bs-Latn-BA"/>
                    </w:rPr>
                    <w:t>Keywords:</w:t>
                  </w:r>
                  <w:r w:rsidRPr="007A384D">
                    <w:rPr>
                      <w:rFonts w:ascii="Adobe Garamond Pro" w:eastAsia="Times New Roman" w:hAnsi="Adobe Garamond Pro" w:cs="Times New Roman"/>
                      <w:i/>
                      <w:sz w:val="20"/>
                      <w:szCs w:val="20"/>
                      <w:lang w:eastAsia="bs-Latn-BA"/>
                    </w:rPr>
                    <w:t xml:space="preserve"> </w:t>
                  </w:r>
                  <w:r w:rsidRPr="007A384D">
                    <w:rPr>
                      <w:rFonts w:ascii="Adobe Garamond Pro" w:hAnsi="Adobe Garamond Pro" w:cs="Times New Roman"/>
                      <w:i/>
                      <w:sz w:val="20"/>
                      <w:szCs w:val="20"/>
                      <w:lang w:val="en-US"/>
                    </w:rPr>
                    <w:t>European Union, Treaty of Lisbon, fundamental rights</w:t>
                  </w:r>
                </w:p>
              </w:txbxContent>
            </v:textbox>
          </v:shape>
        </w:pict>
      </w:r>
      <w:r w:rsidR="007A384D" w:rsidRPr="00242AD7">
        <w:rPr>
          <w:rFonts w:ascii="Adobe Garamond Pro" w:hAnsi="Adobe Garamond Pro" w:cs="Times New Roman"/>
          <w:lang w:val="bs-Latn-BA"/>
        </w:rPr>
        <w:br w:type="page"/>
      </w:r>
      <w:r w:rsidR="00242AD7" w:rsidRPr="00242AD7">
        <w:rPr>
          <w:rFonts w:ascii="Adobe Garamond Pro" w:hAnsi="Adobe Garamond Pro" w:cs="Times New Roman"/>
          <w:b/>
          <w:lang w:val="hr-BA"/>
        </w:rPr>
        <w:lastRenderedPageBreak/>
        <w:t>Uvodno izlaganje o reformama Lisabonskog ugovora</w:t>
      </w:r>
    </w:p>
    <w:p w:rsidR="00242AD7" w:rsidRPr="00242AD7" w:rsidRDefault="00242AD7" w:rsidP="00242AD7">
      <w:pPr>
        <w:spacing w:after="0" w:line="240" w:lineRule="auto"/>
        <w:rPr>
          <w:rFonts w:ascii="Adobe Garamond Pro" w:hAnsi="Adobe Garamond Pro" w:cs="Times New Roman"/>
          <w:lang w:val="bs-Latn-BA"/>
        </w:rPr>
      </w:pPr>
    </w:p>
    <w:p w:rsidR="00242AD7" w:rsidRPr="00242AD7" w:rsidRDefault="00242AD7" w:rsidP="00242AD7">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tab/>
      </w:r>
      <w:r w:rsidRPr="00242AD7">
        <w:rPr>
          <w:rFonts w:ascii="Adobe Garamond Pro" w:hAnsi="Adobe Garamond Pro" w:cs="Times New Roman"/>
          <w:sz w:val="20"/>
          <w:szCs w:val="20"/>
          <w:lang w:val="hr-BA"/>
        </w:rPr>
        <w:t>Ugovor iz Lisabona o izmjenama i dopunama Ugovora o Europskoj uniji i Ugovora o osnivanju Europske zajednice potpisan je 13. prosinca 2007. godine u Lisabonu. Isti je stupio na snagu 1. prosinca 2009. godine, nakon provedene procedure ratifikacije u svim zemljama članicama. Odredbe ovog ugovora podijeljene su na Ugovor o Europskoj uniji i na Ugovor o funkcioniranju Europske unije. Primarni ciljevi ove reforme bili su korekcija procesa odlučivanja, osiguranje demokratske legitimnosti, jačanje institucija te omogućavanje globalno-političkog djelovanja Unije. U ovom smislu je postignuto čak mnogo više, nego što se očekivalo</w:t>
      </w:r>
      <w:r w:rsidRPr="00242AD7">
        <w:rPr>
          <w:rStyle w:val="FootnoteReference"/>
          <w:rFonts w:ascii="Adobe Garamond Pro" w:hAnsi="Adobe Garamond Pro" w:cs="Times New Roman"/>
          <w:sz w:val="20"/>
          <w:szCs w:val="20"/>
          <w:lang w:val="hr-BA"/>
        </w:rPr>
        <w:footnoteReference w:id="2"/>
      </w:r>
      <w:r w:rsidRPr="00242AD7">
        <w:rPr>
          <w:rFonts w:ascii="Adobe Garamond Pro" w:hAnsi="Adobe Garamond Pro" w:cs="Times New Roman"/>
          <w:sz w:val="20"/>
          <w:szCs w:val="20"/>
          <w:lang w:val="hr-BA"/>
        </w:rPr>
        <w:t>. Kao četvrti po redu reformski ugovor, nakon onih iz Maastrichta, Amsterdama i Nizze, Lisabonski ugovor mijenja i dopunjuje postojeće osnivačke ugovore, oslanjajući se pri tome uvelike na odredbe neuspjelog Ustava o Europskoj uniji</w:t>
      </w:r>
      <w:r w:rsidRPr="00242AD7">
        <w:rPr>
          <w:rStyle w:val="FootnoteReference"/>
          <w:rFonts w:ascii="Adobe Garamond Pro" w:hAnsi="Adobe Garamond Pro" w:cs="Times New Roman"/>
          <w:sz w:val="20"/>
          <w:szCs w:val="20"/>
          <w:lang w:val="hr-BA"/>
        </w:rPr>
        <w:footnoteReference w:id="3"/>
      </w:r>
      <w:r w:rsidRPr="00242AD7">
        <w:rPr>
          <w:rFonts w:ascii="Adobe Garamond Pro" w:hAnsi="Adobe Garamond Pro" w:cs="Times New Roman"/>
          <w:sz w:val="20"/>
          <w:szCs w:val="20"/>
          <w:lang w:val="hr-BA"/>
        </w:rPr>
        <w:t>. Područja u kojima su ovim ugovorom uvedene veće promjene su prije svega promjene u institucionalnoj strukturi i načinu donošenja odluka, kao sto su reforma sastava Europske komisije i jačanje uloge Europskog parlamenta, potom jačanje Zajedničke vanjske i sigurnosne politike te poboljšanja u razgraničenju nadležnosti Unije i država članica. Dodatno valja napomenuti i uvođenje europske inicijative građana. Svim ovim novitetima pokušalo se doprinijeti jačanju demokracije u okviru Europske unije i njenih odnosa s građanima. Pravna pozicija građana Europske unije ojačanja je prije svega izmjenama u području zaštite njihovih temeljnih prava.</w:t>
      </w:r>
    </w:p>
    <w:p w:rsidR="00242AD7" w:rsidRPr="00242AD7" w:rsidRDefault="00242AD7" w:rsidP="00242AD7">
      <w:pPr>
        <w:spacing w:after="0" w:line="240" w:lineRule="auto"/>
        <w:jc w:val="both"/>
        <w:rPr>
          <w:rFonts w:ascii="Adobe Garamond Pro" w:hAnsi="Adobe Garamond Pro" w:cs="Times New Roman"/>
          <w:sz w:val="20"/>
          <w:szCs w:val="20"/>
          <w:lang w:val="hr-BA"/>
        </w:rPr>
      </w:pPr>
      <w:r w:rsidRPr="00242AD7">
        <w:rPr>
          <w:rFonts w:ascii="Adobe Garamond Pro" w:hAnsi="Adobe Garamond Pro" w:cs="Times New Roman"/>
          <w:sz w:val="20"/>
          <w:szCs w:val="20"/>
          <w:lang w:val="hr-BA"/>
        </w:rPr>
        <w:t xml:space="preserve">Upravo ovo pitanje bit će obrađeno u nastavku ovog rada. Kao polazna točka bit će predstavljen pravni </w:t>
      </w:r>
      <w:r w:rsidRPr="00242AD7">
        <w:rPr>
          <w:rFonts w:ascii="Adobe Garamond Pro" w:hAnsi="Adobe Garamond Pro" w:cs="Times New Roman"/>
          <w:sz w:val="20"/>
          <w:szCs w:val="20"/>
        </w:rPr>
        <w:t>temelj</w:t>
      </w:r>
      <w:r w:rsidRPr="00242AD7">
        <w:rPr>
          <w:rFonts w:ascii="Adobe Garamond Pro" w:hAnsi="Adobe Garamond Pro" w:cs="Times New Roman"/>
          <w:sz w:val="20"/>
          <w:szCs w:val="20"/>
          <w:lang w:val="hr-BA"/>
        </w:rPr>
        <w:t xml:space="preserve"> za zaštitu temeljnih prava u Europskoj uniji prije reforme Lisabonskog ugovora. Potom će biti odgovoreno na pitanje da li je Lisabonski ugovor i na koji način proširio, produbio ili drugačije poboljšao zaštitu spomenutih prava. Kao središnje točke ovog razmatranja bit će svakako položaj i značenje Europske konvencije o ljudskim pravima i temeljnim slobodama i Europske povelje o temeljnim pravima i učinak navedenog na sveukupni sustav zaštite temeljnih prava u Europskoj uniji.</w:t>
      </w:r>
    </w:p>
    <w:p w:rsidR="00242AD7" w:rsidRPr="00242AD7" w:rsidRDefault="00242AD7" w:rsidP="00242AD7">
      <w:pPr>
        <w:spacing w:after="0" w:line="240" w:lineRule="auto"/>
        <w:jc w:val="both"/>
        <w:rPr>
          <w:rFonts w:ascii="Adobe Garamond Pro" w:hAnsi="Adobe Garamond Pro" w:cs="Times New Roman"/>
          <w:sz w:val="20"/>
          <w:szCs w:val="20"/>
          <w:lang w:val="hr-BA"/>
        </w:rPr>
      </w:pPr>
    </w:p>
    <w:p w:rsidR="00242AD7" w:rsidRPr="00242AD7" w:rsidRDefault="00242AD7" w:rsidP="00242AD7">
      <w:pPr>
        <w:pStyle w:val="ListParagraph"/>
        <w:spacing w:after="0" w:line="240" w:lineRule="auto"/>
        <w:ind w:left="0"/>
        <w:rPr>
          <w:rFonts w:ascii="Adobe Garamond Pro" w:hAnsi="Adobe Garamond Pro" w:cs="Times New Roman"/>
          <w:b/>
          <w:lang w:val="hr-BA"/>
        </w:rPr>
      </w:pPr>
      <w:r w:rsidRPr="00242AD7">
        <w:rPr>
          <w:rFonts w:ascii="Adobe Garamond Pro" w:hAnsi="Adobe Garamond Pro" w:cs="Times New Roman"/>
          <w:b/>
          <w:lang w:val="hr-BA"/>
        </w:rPr>
        <w:t>Temeljna prava u EU prije Lisabonskog ugovora</w:t>
      </w:r>
    </w:p>
    <w:p w:rsidR="00242AD7" w:rsidRPr="00242AD7" w:rsidRDefault="00242AD7" w:rsidP="00242AD7">
      <w:pPr>
        <w:pStyle w:val="ListParagraph"/>
        <w:spacing w:after="0" w:line="240" w:lineRule="auto"/>
        <w:jc w:val="both"/>
        <w:rPr>
          <w:rFonts w:ascii="Adobe Garamond Pro" w:hAnsi="Adobe Garamond Pro" w:cs="Times New Roman"/>
          <w:b/>
          <w:sz w:val="20"/>
          <w:szCs w:val="20"/>
          <w:lang w:val="hr-BA"/>
        </w:rPr>
      </w:pPr>
    </w:p>
    <w:p w:rsidR="00242AD7" w:rsidRPr="00242AD7" w:rsidRDefault="00242AD7" w:rsidP="00242AD7">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tab/>
      </w:r>
      <w:r w:rsidRPr="00242AD7">
        <w:rPr>
          <w:rFonts w:ascii="Adobe Garamond Pro" w:hAnsi="Adobe Garamond Pro" w:cs="Times New Roman"/>
          <w:sz w:val="20"/>
          <w:szCs w:val="20"/>
          <w:lang w:val="hr-BA"/>
        </w:rPr>
        <w:t xml:space="preserve">Kada govorimo o temeljnim pravima u okviru Europske unije, za početak treba naglasiti da se sustav ovih prava razvijao postupno te da je potreba za većom zaštitom prava građana rasla u skladu s produbljivanjem ovlasti Europske unije. U ovom smislu je svaka revizija osnivačkih ugovora, između ostalog pružila priliku za jačanje zaštite prava pojedinca u sustavu Europske unije. No, ipak značajnija prekretnica u ovom smislu učinjena je donošenjem Ugovora iz Maastrichta, odnosno Ugovora o Europskoj uniji. </w:t>
      </w:r>
    </w:p>
    <w:p w:rsidR="00242AD7" w:rsidRDefault="00EF67A4" w:rsidP="00242AD7">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lastRenderedPageBreak/>
        <w:tab/>
      </w:r>
      <w:r w:rsidR="00242AD7" w:rsidRPr="00242AD7">
        <w:rPr>
          <w:rFonts w:ascii="Adobe Garamond Pro" w:hAnsi="Adobe Garamond Pro" w:cs="Times New Roman"/>
          <w:sz w:val="20"/>
          <w:szCs w:val="20"/>
          <w:lang w:val="hr-BA"/>
        </w:rPr>
        <w:t>Ovim reformskim ugovorom uveden je naime Članak 6 Ugovora o Europskoj uniji, koji regulira između ostalog osnivanje Europske unije na principima slobode, demokracije, poštivanja ljudskih prava i temeljnih sloboda, vladavine prava, principima, koji su zajednički za sve zemlje članice. Prema istom članku Unija poštuje temeljna prava, garantirana Europskom konvencijom o ljudskim pravima i temeljnim slobodama i koja su rezultat zajedničkih ustavnih tradicija zemalja članica, što je općeniti princip prava Zajednice</w:t>
      </w:r>
      <w:r w:rsidR="00242AD7" w:rsidRPr="00242AD7">
        <w:rPr>
          <w:rStyle w:val="FootnoteReference"/>
          <w:rFonts w:ascii="Adobe Garamond Pro" w:hAnsi="Adobe Garamond Pro" w:cs="Times New Roman"/>
          <w:sz w:val="20"/>
          <w:szCs w:val="20"/>
          <w:lang w:val="hr-BA"/>
        </w:rPr>
        <w:footnoteReference w:id="4"/>
      </w:r>
      <w:r w:rsidR="00242AD7" w:rsidRPr="00242AD7">
        <w:rPr>
          <w:rFonts w:ascii="Adobe Garamond Pro" w:hAnsi="Adobe Garamond Pro" w:cs="Times New Roman"/>
          <w:sz w:val="20"/>
          <w:szCs w:val="20"/>
          <w:lang w:val="hr-BA"/>
        </w:rPr>
        <w:t>. Iz navedenog je vidljivo da je zaštita temeljnih prava izdvojena kao jedan od osnovnih principa nastanka i funkcioniranja Europske unije, pri čemu članak 6 govori općenito o ljudskim pravima i temeljnim slobodama, ne nabrajajući pri tomu pojedina prava ove vrste. Nadalje i stavak 2 navedenog članka poziva se na Europsku konvenciju o ljudskim pravima i temeljnim slobodama, kao pravni akt druge međunarodne organizacije, Vijeća Europe i na prava koja su zajednička ustavima zemalja članica. Izrazom „zajednička“ naglašeno je da u obzir ne dolaze ona prava, koja nisu normirana u ustavnim odredbama svih zemalja članica</w:t>
      </w:r>
      <w:r w:rsidR="00242AD7" w:rsidRPr="00242AD7">
        <w:rPr>
          <w:rStyle w:val="FootnoteReference"/>
          <w:rFonts w:ascii="Adobe Garamond Pro" w:hAnsi="Adobe Garamond Pro" w:cs="Times New Roman"/>
          <w:sz w:val="20"/>
          <w:szCs w:val="20"/>
          <w:lang w:val="hr-BA"/>
        </w:rPr>
        <w:footnoteReference w:id="5"/>
      </w:r>
      <w:r w:rsidR="00242AD7" w:rsidRPr="00242AD7">
        <w:rPr>
          <w:rFonts w:ascii="Adobe Garamond Pro" w:hAnsi="Adobe Garamond Pro" w:cs="Times New Roman"/>
          <w:sz w:val="20"/>
          <w:szCs w:val="20"/>
          <w:lang w:val="hr-BA"/>
        </w:rPr>
        <w:t>. Pored definirane obveze poštivanja navedenih principa za Uniju, članak 6 ima dodatno značenje kroz članak 49 Ugovora o Europskoj uniji. Prema navedenom samo one zemlje koje poštuju principe iz članka 6, mogu podnijeti zahtjev za članstvo u Europskoj uniji</w:t>
      </w:r>
      <w:r w:rsidR="00242AD7" w:rsidRPr="00242AD7">
        <w:rPr>
          <w:rStyle w:val="FootnoteReference"/>
          <w:rFonts w:ascii="Adobe Garamond Pro" w:hAnsi="Adobe Garamond Pro" w:cs="Times New Roman"/>
          <w:sz w:val="20"/>
          <w:szCs w:val="20"/>
          <w:lang w:val="hr-BA"/>
        </w:rPr>
        <w:footnoteReference w:id="6"/>
      </w:r>
      <w:r w:rsidR="00242AD7" w:rsidRPr="00242AD7">
        <w:rPr>
          <w:rFonts w:ascii="Adobe Garamond Pro" w:hAnsi="Adobe Garamond Pro" w:cs="Times New Roman"/>
          <w:sz w:val="20"/>
          <w:szCs w:val="20"/>
          <w:lang w:val="hr-BA"/>
        </w:rPr>
        <w:t>. Dodatno je člankom 7 ovog Ugovora predviđena mogućnost izricanja određenih mjera, npr. suspenzija nekih prava, ukoliko zemlja članica povrijedi ove principe</w:t>
      </w:r>
      <w:r w:rsidR="00242AD7" w:rsidRPr="00242AD7">
        <w:rPr>
          <w:rStyle w:val="FootnoteReference"/>
          <w:rFonts w:ascii="Adobe Garamond Pro" w:hAnsi="Adobe Garamond Pro" w:cs="Times New Roman"/>
          <w:sz w:val="20"/>
          <w:szCs w:val="20"/>
          <w:lang w:val="hr-BA"/>
        </w:rPr>
        <w:footnoteReference w:id="7"/>
      </w:r>
      <w:r w:rsidR="00242AD7" w:rsidRPr="00242AD7">
        <w:rPr>
          <w:rFonts w:ascii="Adobe Garamond Pro" w:hAnsi="Adobe Garamond Pro" w:cs="Times New Roman"/>
          <w:sz w:val="20"/>
          <w:szCs w:val="20"/>
          <w:lang w:val="hr-BA"/>
        </w:rPr>
        <w:t xml:space="preserve">. </w:t>
      </w:r>
    </w:p>
    <w:p w:rsidR="00EF67A4" w:rsidRPr="00242AD7" w:rsidRDefault="00EF67A4" w:rsidP="00242AD7">
      <w:pPr>
        <w:spacing w:after="0" w:line="240" w:lineRule="auto"/>
        <w:jc w:val="both"/>
        <w:rPr>
          <w:rFonts w:ascii="Adobe Garamond Pro" w:hAnsi="Adobe Garamond Pro" w:cs="Times New Roman"/>
          <w:sz w:val="20"/>
          <w:szCs w:val="20"/>
          <w:lang w:val="hr-BA"/>
        </w:rPr>
      </w:pPr>
    </w:p>
    <w:p w:rsidR="00242AD7" w:rsidRDefault="00EF67A4" w:rsidP="00242AD7">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tab/>
      </w:r>
      <w:r w:rsidR="00242AD7" w:rsidRPr="00242AD7">
        <w:rPr>
          <w:rFonts w:ascii="Adobe Garamond Pro" w:hAnsi="Adobe Garamond Pro" w:cs="Times New Roman"/>
          <w:sz w:val="20"/>
          <w:szCs w:val="20"/>
          <w:lang w:val="hr-BA"/>
        </w:rPr>
        <w:t>Osim navedenog, iz pojedinih odredbi Ugovora o Europskoj zajednici, moguće je  implicitno izvući sadržaj temeljnih ili građanskih prava</w:t>
      </w:r>
      <w:r w:rsidR="00242AD7" w:rsidRPr="00242AD7">
        <w:rPr>
          <w:rStyle w:val="FootnoteReference"/>
          <w:rFonts w:ascii="Adobe Garamond Pro" w:hAnsi="Adobe Garamond Pro" w:cs="Times New Roman"/>
          <w:sz w:val="20"/>
          <w:szCs w:val="20"/>
          <w:lang w:val="hr-BA"/>
        </w:rPr>
        <w:footnoteReference w:id="8"/>
      </w:r>
      <w:r w:rsidR="00242AD7" w:rsidRPr="00242AD7">
        <w:rPr>
          <w:rFonts w:ascii="Adobe Garamond Pro" w:hAnsi="Adobe Garamond Pro" w:cs="Times New Roman"/>
          <w:sz w:val="20"/>
          <w:szCs w:val="20"/>
          <w:lang w:val="hr-BA"/>
        </w:rPr>
        <w:t>. Takav primjer je svakako članak 12 Ugovora o europskoj zajednici, prema kojem je zabranjena svaka vrsta diskriminacije na osnovu državljanstva</w:t>
      </w:r>
      <w:r w:rsidR="00242AD7" w:rsidRPr="00242AD7">
        <w:rPr>
          <w:rStyle w:val="FootnoteReference"/>
          <w:rFonts w:ascii="Adobe Garamond Pro" w:hAnsi="Adobe Garamond Pro" w:cs="Times New Roman"/>
          <w:sz w:val="20"/>
          <w:szCs w:val="20"/>
          <w:lang w:val="hr-BA"/>
        </w:rPr>
        <w:footnoteReference w:id="9"/>
      </w:r>
      <w:r w:rsidR="00242AD7" w:rsidRPr="00242AD7">
        <w:rPr>
          <w:rFonts w:ascii="Adobe Garamond Pro" w:hAnsi="Adobe Garamond Pro" w:cs="Times New Roman"/>
          <w:sz w:val="20"/>
          <w:szCs w:val="20"/>
          <w:lang w:val="hr-BA"/>
        </w:rPr>
        <w:t>. Također, ovdje treba napomenuti i članak 13 istog ugovora, koji omogućuje Vijeću donošenje propisa, koji bi spriječili diskriminaciju iz razloga spola, rasnog ili etničkog podrijetla, vjere ili uvjerenja, invalidnosti, dobi ili spolne orijentacije</w:t>
      </w:r>
      <w:r w:rsidR="00242AD7" w:rsidRPr="00242AD7">
        <w:rPr>
          <w:rStyle w:val="FootnoteReference"/>
          <w:rFonts w:ascii="Adobe Garamond Pro" w:hAnsi="Adobe Garamond Pro" w:cs="Times New Roman"/>
          <w:sz w:val="20"/>
          <w:szCs w:val="20"/>
          <w:lang w:val="hr-BA"/>
        </w:rPr>
        <w:footnoteReference w:id="10"/>
      </w:r>
      <w:r w:rsidR="00242AD7" w:rsidRPr="00242AD7">
        <w:rPr>
          <w:rFonts w:ascii="Adobe Garamond Pro" w:hAnsi="Adobe Garamond Pro" w:cs="Times New Roman"/>
          <w:sz w:val="20"/>
          <w:szCs w:val="20"/>
          <w:lang w:val="hr-BA"/>
        </w:rPr>
        <w:t xml:space="preserve">. </w:t>
      </w:r>
    </w:p>
    <w:p w:rsidR="00EF67A4" w:rsidRPr="00242AD7" w:rsidRDefault="00EF67A4" w:rsidP="00242AD7">
      <w:pPr>
        <w:spacing w:after="0" w:line="240" w:lineRule="auto"/>
        <w:jc w:val="both"/>
        <w:rPr>
          <w:rFonts w:ascii="Adobe Garamond Pro" w:hAnsi="Adobe Garamond Pro" w:cs="Times New Roman"/>
          <w:sz w:val="20"/>
          <w:szCs w:val="20"/>
          <w:lang w:val="hr-BA"/>
        </w:rPr>
      </w:pPr>
    </w:p>
    <w:p w:rsidR="00242AD7" w:rsidRDefault="00EF67A4" w:rsidP="00242AD7">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lastRenderedPageBreak/>
        <w:tab/>
      </w:r>
      <w:r w:rsidR="00242AD7" w:rsidRPr="00242AD7">
        <w:rPr>
          <w:rFonts w:ascii="Adobe Garamond Pro" w:hAnsi="Adobe Garamond Pro" w:cs="Times New Roman"/>
          <w:sz w:val="20"/>
          <w:szCs w:val="20"/>
          <w:lang w:val="hr-BA"/>
        </w:rPr>
        <w:t>Ipak, najznačajniju ulogu u razvoju europskih temeljnih prava imao je Sud Europske unije. Sud je naime, u okviru svog sudovanja razvio i priznao niz pojedinačnih temeljnih prava, na osnovu zajedničkih ustavnih tradicija zemalja članica i zajedničkih međunarodnih obveza zemalja članica, osobito misleći pri tome na Europsku konvenciju o ljudskim pravima i temeljnim slobodama. Početak ovog evolutivnog procesa označio je slučaj „Stauder“</w:t>
      </w:r>
      <w:r w:rsidR="00242AD7" w:rsidRPr="00242AD7">
        <w:rPr>
          <w:rStyle w:val="FootnoteReference"/>
          <w:rFonts w:ascii="Adobe Garamond Pro" w:hAnsi="Adobe Garamond Pro" w:cs="Times New Roman"/>
          <w:sz w:val="20"/>
          <w:szCs w:val="20"/>
          <w:lang w:val="hr-BA"/>
        </w:rPr>
        <w:footnoteReference w:id="11"/>
      </w:r>
      <w:r w:rsidR="00242AD7" w:rsidRPr="00242AD7">
        <w:rPr>
          <w:rFonts w:ascii="Adobe Garamond Pro" w:hAnsi="Adobe Garamond Pro" w:cs="Times New Roman"/>
          <w:sz w:val="20"/>
          <w:szCs w:val="20"/>
          <w:lang w:val="hr-BA"/>
        </w:rPr>
        <w:t>. Tvrdnje Suda odnose se na zaštitu temeljnih prava pojedinca, koja su sadržana u općim načelima prava Zajednice te zabranu povrede istih kroz pravo Zajednice. Sud je dakle prihvatio temeljna prava i zabranu diskriminacije kao dio pravnog sustava Zajednice, jer isto proizlazi iz zajedničkih pravnih odredbi država članica</w:t>
      </w:r>
      <w:r w:rsidR="00242AD7" w:rsidRPr="00242AD7">
        <w:rPr>
          <w:rStyle w:val="FootnoteReference"/>
          <w:rFonts w:ascii="Adobe Garamond Pro" w:hAnsi="Adobe Garamond Pro" w:cs="Times New Roman"/>
          <w:sz w:val="20"/>
          <w:szCs w:val="20"/>
          <w:lang w:val="hr-BA"/>
        </w:rPr>
        <w:footnoteReference w:id="12"/>
      </w:r>
      <w:r w:rsidR="00242AD7" w:rsidRPr="00242AD7">
        <w:rPr>
          <w:rFonts w:ascii="Adobe Garamond Pro" w:hAnsi="Adobe Garamond Pro" w:cs="Times New Roman"/>
          <w:sz w:val="20"/>
          <w:szCs w:val="20"/>
          <w:lang w:val="hr-BA"/>
        </w:rPr>
        <w:t>. Sljedeća važna presuda Suda EU u ovom području jeste slučaj „Internationalle Handelsgesellschaft“</w:t>
      </w:r>
      <w:r w:rsidR="00242AD7" w:rsidRPr="00242AD7">
        <w:rPr>
          <w:rStyle w:val="FootnoteReference"/>
          <w:rFonts w:ascii="Adobe Garamond Pro" w:hAnsi="Adobe Garamond Pro" w:cs="Times New Roman"/>
          <w:sz w:val="20"/>
          <w:szCs w:val="20"/>
          <w:lang w:val="hr-BA"/>
        </w:rPr>
        <w:footnoteReference w:id="13"/>
      </w:r>
      <w:r w:rsidR="00242AD7" w:rsidRPr="00242AD7">
        <w:rPr>
          <w:rFonts w:ascii="Adobe Garamond Pro" w:hAnsi="Adobe Garamond Pro" w:cs="Times New Roman"/>
          <w:sz w:val="20"/>
          <w:szCs w:val="20"/>
          <w:lang w:val="hr-BA"/>
        </w:rPr>
        <w:t>, u kojoj je Sud potvrdio da temeljna prava kao opća pravna načela, izvedena iz prava država članica, moraju biti kao takva štićena kroz pravo Zajednice. Dodatno u slučaju „Nold“</w:t>
      </w:r>
      <w:r w:rsidR="00242AD7" w:rsidRPr="00242AD7">
        <w:rPr>
          <w:rStyle w:val="FootnoteReference"/>
          <w:rFonts w:ascii="Adobe Garamond Pro" w:hAnsi="Adobe Garamond Pro" w:cs="Times New Roman"/>
          <w:sz w:val="20"/>
          <w:szCs w:val="20"/>
          <w:lang w:val="hr-BA"/>
        </w:rPr>
        <w:footnoteReference w:id="14"/>
      </w:r>
      <w:r w:rsidR="00242AD7" w:rsidRPr="00242AD7">
        <w:rPr>
          <w:rFonts w:ascii="Adobe Garamond Pro" w:hAnsi="Adobe Garamond Pro" w:cs="Times New Roman"/>
          <w:sz w:val="20"/>
          <w:szCs w:val="20"/>
          <w:lang w:val="hr-BA"/>
        </w:rPr>
        <w:t xml:space="preserve">  Sud je proširio kao izvore i smjernice za tumačenje ljudskih prava i međunarodne ugovore za zaštitu ljudskih prava u čijoj su izradi sudjelovale zemlje članice ili su potpisnice istih. Na ovaj način Sud EU razvio je opsežan katalog europskih temeljnih prava, kao sto su sloboda mišljenja i informacija, sloboda udruživanja i sloboda religije, nepovredivost doma, ali i procesualna prava poput prava na saslušanje i učinkovitu pravnu zaštitu</w:t>
      </w:r>
      <w:r w:rsidR="00242AD7" w:rsidRPr="00242AD7">
        <w:rPr>
          <w:rStyle w:val="FootnoteReference"/>
          <w:rFonts w:ascii="Adobe Garamond Pro" w:hAnsi="Adobe Garamond Pro" w:cs="Times New Roman"/>
          <w:sz w:val="20"/>
          <w:szCs w:val="20"/>
          <w:lang w:val="hr-BA"/>
        </w:rPr>
        <w:footnoteReference w:id="15"/>
      </w:r>
      <w:r w:rsidR="00242AD7" w:rsidRPr="00242AD7">
        <w:rPr>
          <w:rFonts w:ascii="Adobe Garamond Pro" w:hAnsi="Adobe Garamond Pro" w:cs="Times New Roman"/>
          <w:sz w:val="20"/>
          <w:szCs w:val="20"/>
          <w:lang w:val="hr-BA"/>
        </w:rPr>
        <w:t xml:space="preserve">. Svim ovim pravima, izvedenim iz zajedničkih pravnih pravila zemalja članica ili od strane istih potpisanih međunarodnih ugovora, priznata je obvezujuća pravna snaga kao općim principima prava EU u smislu gore spomenutog članka 6 Ugovora o Europskoj uniji. </w:t>
      </w:r>
    </w:p>
    <w:p w:rsidR="00EF67A4" w:rsidRPr="00242AD7" w:rsidRDefault="00EF67A4" w:rsidP="00242AD7">
      <w:pPr>
        <w:spacing w:after="0" w:line="240" w:lineRule="auto"/>
        <w:jc w:val="both"/>
        <w:rPr>
          <w:rFonts w:ascii="Adobe Garamond Pro" w:hAnsi="Adobe Garamond Pro" w:cs="Times New Roman"/>
          <w:sz w:val="20"/>
          <w:szCs w:val="20"/>
          <w:lang w:val="hr-BA"/>
        </w:rPr>
      </w:pPr>
    </w:p>
    <w:p w:rsid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lang w:val="hr-BA"/>
        </w:rPr>
        <w:tab/>
      </w:r>
      <w:r w:rsidR="00242AD7" w:rsidRPr="00242AD7">
        <w:rPr>
          <w:rFonts w:ascii="Adobe Garamond Pro" w:hAnsi="Adobe Garamond Pro" w:cs="Times New Roman"/>
          <w:sz w:val="20"/>
          <w:szCs w:val="20"/>
          <w:lang w:val="hr-BA"/>
        </w:rPr>
        <w:t xml:space="preserve">Povelja o temeljnim pravima Europske unije pruža prvi pisani katalog europskih temeljnih prava. Prema gore navedenom vidljivo je da je Europska zajednica, odnosno Europska unija, tijekom vremena razvila značajan sustav zaštite temeljnih prava. Ipak, na opisani način bilo je teško konkretizirati pojedina prava, jer ih je bilo potrebno razviti kroz </w:t>
      </w:r>
      <w:r w:rsidR="00242AD7" w:rsidRPr="00242AD7">
        <w:rPr>
          <w:rFonts w:ascii="Adobe Garamond Pro" w:hAnsi="Adobe Garamond Pro" w:cs="Times New Roman"/>
          <w:sz w:val="20"/>
          <w:szCs w:val="20"/>
          <w:lang w:val="hr-BA"/>
        </w:rPr>
        <w:lastRenderedPageBreak/>
        <w:t>sudovanje Suda EU</w:t>
      </w:r>
      <w:r w:rsidR="00242AD7" w:rsidRPr="00242AD7">
        <w:rPr>
          <w:rStyle w:val="FootnoteReference"/>
          <w:rFonts w:ascii="Adobe Garamond Pro" w:hAnsi="Adobe Garamond Pro" w:cs="Times New Roman"/>
          <w:sz w:val="20"/>
          <w:szCs w:val="20"/>
          <w:lang w:val="hr-BA"/>
        </w:rPr>
        <w:footnoteReference w:id="16"/>
      </w:r>
      <w:r w:rsidR="00242AD7" w:rsidRPr="00242AD7">
        <w:rPr>
          <w:rFonts w:ascii="Adobe Garamond Pro" w:hAnsi="Adobe Garamond Pro" w:cs="Times New Roman"/>
          <w:sz w:val="20"/>
          <w:szCs w:val="20"/>
          <w:lang w:val="hr-BA"/>
        </w:rPr>
        <w:t>. Stoga je bio nužan sveobuhvatan katalog, koji sadrži sva temeljna prava razvijena od strane Suda kroz svoju dugogodišnju sudsku praksu. S druge strane, usvajanje Povelje o temeljnim pravima trebalo je doprinijeti transparentnosti te ista prava približiti građanima. Europska povelja o temeljnim pravima svečano je proglašena u okviru sastanka na vrhu u Nici 2001 godine</w:t>
      </w:r>
      <w:r w:rsidR="00242AD7" w:rsidRPr="00242AD7">
        <w:rPr>
          <w:rStyle w:val="FootnoteReference"/>
          <w:rFonts w:ascii="Adobe Garamond Pro" w:hAnsi="Adobe Garamond Pro" w:cs="Times New Roman"/>
          <w:sz w:val="20"/>
          <w:szCs w:val="20"/>
          <w:lang w:val="hr-BA"/>
        </w:rPr>
        <w:footnoteReference w:id="17"/>
      </w:r>
      <w:r w:rsidR="00242AD7" w:rsidRPr="00242AD7">
        <w:rPr>
          <w:rFonts w:ascii="Adobe Garamond Pro" w:hAnsi="Adobe Garamond Pro" w:cs="Times New Roman"/>
          <w:sz w:val="20"/>
          <w:szCs w:val="20"/>
          <w:lang w:val="hr-BA"/>
        </w:rPr>
        <w:t>. Međutim, Povelja nije imala obvezujuću pravnu snagu, štoviše, barem privremeni neobvezujući učinak Povelje bio je za neke države članice uvjet njenog proglašenja. Pitanje pravnog statusa trebalo je biti riješeno u budućim reformskim procesima</w:t>
      </w:r>
      <w:r w:rsidR="00242AD7" w:rsidRPr="00242AD7">
        <w:rPr>
          <w:rStyle w:val="FootnoteReference"/>
          <w:rFonts w:ascii="Adobe Garamond Pro" w:hAnsi="Adobe Garamond Pro" w:cs="Times New Roman"/>
          <w:sz w:val="20"/>
          <w:szCs w:val="20"/>
          <w:lang w:val="hr-BA"/>
        </w:rPr>
        <w:footnoteReference w:id="18"/>
      </w:r>
      <w:r w:rsidR="00242AD7" w:rsidRPr="00242AD7">
        <w:rPr>
          <w:rFonts w:ascii="Adobe Garamond Pro" w:hAnsi="Adobe Garamond Pro" w:cs="Times New Roman"/>
          <w:sz w:val="20"/>
          <w:szCs w:val="20"/>
          <w:lang w:val="hr-BA"/>
        </w:rPr>
        <w:t>. Tako je Ugovorom o Ustavu Europske unije ista trebala postati sastavni dio osnivačkih ugovora</w:t>
      </w:r>
      <w:r w:rsidR="00242AD7" w:rsidRPr="00242AD7">
        <w:rPr>
          <w:rStyle w:val="FootnoteReference"/>
          <w:rFonts w:ascii="Adobe Garamond Pro" w:hAnsi="Adobe Garamond Pro" w:cs="Times New Roman"/>
          <w:sz w:val="20"/>
          <w:szCs w:val="20"/>
          <w:lang w:val="hr-BA"/>
        </w:rPr>
        <w:footnoteReference w:id="19"/>
      </w:r>
      <w:r w:rsidR="00242AD7" w:rsidRPr="00242AD7">
        <w:rPr>
          <w:rFonts w:ascii="Adobe Garamond Pro" w:hAnsi="Adobe Garamond Pro" w:cs="Times New Roman"/>
          <w:sz w:val="20"/>
          <w:szCs w:val="20"/>
          <w:lang w:val="hr-BA"/>
        </w:rPr>
        <w:t xml:space="preserve">.  Navedeno se pak nije realiziralo zbog neusvajanja Ugovora o Ustavu </w:t>
      </w:r>
      <w:r w:rsidR="00242AD7" w:rsidRPr="00242AD7">
        <w:rPr>
          <w:rFonts w:ascii="Adobe Garamond Pro" w:hAnsi="Adobe Garamond Pro" w:cs="Times New Roman"/>
          <w:sz w:val="20"/>
          <w:szCs w:val="20"/>
        </w:rPr>
        <w:t>EU, kao posljedice negativnog referenduma u Francuskoj i Nizozemskoj. Pravni status Povelje konačno je riješen donošenjem Ugovora iz Lisabona, o čemu će više biti riječi u nastavku. No i prije Lisabonskog ugovora, unatoč nedostatku pravno obvezujuće snage, Povelja je imala veliko značenje za europski sustav temeljnih prava. Tako je ista razvila neizravni pravni učinak kroz dobrovoljno preuzetu obvezu njenog poštivanja od strane Europskog parlamenta, Vijeća i Europske komisije. Spomenuti organi EU su se naime redovito pozivali na Povelju o temeljnim pravima, kao mjerilo preventivne kontrole u okviru svog djelovanja.</w:t>
      </w:r>
      <w:r w:rsidR="00242AD7" w:rsidRPr="00242AD7">
        <w:rPr>
          <w:rStyle w:val="FootnoteReference"/>
          <w:rFonts w:ascii="Adobe Garamond Pro" w:hAnsi="Adobe Garamond Pro" w:cs="Times New Roman"/>
          <w:sz w:val="20"/>
          <w:szCs w:val="20"/>
        </w:rPr>
        <w:footnoteReference w:id="20"/>
      </w:r>
      <w:r w:rsidR="00242AD7" w:rsidRPr="00242AD7">
        <w:rPr>
          <w:rFonts w:ascii="Adobe Garamond Pro" w:hAnsi="Adobe Garamond Pro" w:cs="Times New Roman"/>
          <w:sz w:val="20"/>
          <w:szCs w:val="20"/>
        </w:rPr>
        <w:t xml:space="preserve"> Istovremeno Povelja je sve više dodatno uzimana u obzir od strane tužitelja i sudaca u procesima pred Sudom Europske unije, ali i u sudskoj praksi Europskog suda za ljudska prava te ponekih ustavnih sudova država članica, između ostalog njemačkog Saveznog ustavnog suda.</w:t>
      </w:r>
      <w:r w:rsidR="00242AD7" w:rsidRPr="00242AD7">
        <w:rPr>
          <w:rStyle w:val="FootnoteReference"/>
          <w:rFonts w:ascii="Adobe Garamond Pro" w:hAnsi="Adobe Garamond Pro" w:cs="Times New Roman"/>
          <w:sz w:val="20"/>
          <w:szCs w:val="20"/>
        </w:rPr>
        <w:footnoteReference w:id="21"/>
      </w:r>
      <w:r w:rsidR="00242AD7" w:rsidRPr="00242AD7">
        <w:rPr>
          <w:rFonts w:ascii="Adobe Garamond Pro" w:hAnsi="Adobe Garamond Pro" w:cs="Times New Roman"/>
          <w:sz w:val="20"/>
          <w:szCs w:val="20"/>
        </w:rPr>
        <w:t>Povelja EU o temeljnim pravima objedinila je i učinila vidljivim temeljna prava i vrijednosti, koja povezuju sve države članice i njihove građane, koje je u skladu s tim i sama Unija i njeni organi dužni poštovati. To je značilo istovremeno doprinos jačanju demokratske legitimacije djelovanja Unije, a s tim i veće povjerenje i sigurnost njenih građana, kao nositelja ovih prava.</w:t>
      </w:r>
    </w:p>
    <w:p w:rsidR="00EF67A4" w:rsidRDefault="00EF67A4" w:rsidP="00242AD7">
      <w:pPr>
        <w:spacing w:after="0" w:line="240" w:lineRule="auto"/>
        <w:jc w:val="both"/>
        <w:rPr>
          <w:rFonts w:ascii="Adobe Garamond Pro" w:hAnsi="Adobe Garamond Pro" w:cs="Times New Roman"/>
          <w:sz w:val="20"/>
          <w:szCs w:val="20"/>
        </w:rPr>
      </w:pPr>
    </w:p>
    <w:p w:rsidR="00EF67A4" w:rsidRDefault="00EF67A4" w:rsidP="00242AD7">
      <w:pPr>
        <w:spacing w:after="0" w:line="240" w:lineRule="auto"/>
        <w:jc w:val="both"/>
        <w:rPr>
          <w:rFonts w:ascii="Adobe Garamond Pro" w:hAnsi="Adobe Garamond Pro" w:cs="Times New Roman"/>
          <w:sz w:val="20"/>
          <w:szCs w:val="20"/>
        </w:rPr>
      </w:pPr>
    </w:p>
    <w:p w:rsidR="00EF67A4" w:rsidRPr="00242AD7" w:rsidRDefault="00EF67A4" w:rsidP="00242AD7">
      <w:pPr>
        <w:spacing w:after="0" w:line="240" w:lineRule="auto"/>
        <w:jc w:val="both"/>
        <w:rPr>
          <w:rFonts w:ascii="Adobe Garamond Pro" w:hAnsi="Adobe Garamond Pro" w:cs="Times New Roman"/>
          <w:sz w:val="20"/>
          <w:szCs w:val="20"/>
          <w:lang w:val="hr-BA"/>
        </w:rPr>
      </w:pPr>
    </w:p>
    <w:p w:rsidR="00242AD7" w:rsidRP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lastRenderedPageBreak/>
        <w:tab/>
      </w:r>
      <w:r w:rsidR="00242AD7" w:rsidRPr="00242AD7">
        <w:rPr>
          <w:rFonts w:ascii="Adobe Garamond Pro" w:hAnsi="Adobe Garamond Pro" w:cs="Times New Roman"/>
          <w:sz w:val="20"/>
          <w:szCs w:val="20"/>
        </w:rPr>
        <w:t xml:space="preserve">Evidentno je dakle da su se Europska zajednica i Europska unija postupno, od prvobitne zajednice s gospodarskim ciljevima, razvile u zajednice sa značajnom zaštitom temeljnih prava, na nekoliko različitih razina. Ipak nadolazeće reforme osnivačkih ugovora pružile su priliku da se ovaj sustav dodatno poboljša u korist svih građana Europske unije. </w:t>
      </w:r>
    </w:p>
    <w:p w:rsidR="00EF67A4" w:rsidRDefault="00EF67A4" w:rsidP="00EF67A4">
      <w:pPr>
        <w:pStyle w:val="ListParagraph"/>
        <w:spacing w:after="0" w:line="240" w:lineRule="auto"/>
        <w:jc w:val="both"/>
        <w:rPr>
          <w:rFonts w:ascii="Adobe Garamond Pro" w:hAnsi="Adobe Garamond Pro" w:cs="Times New Roman"/>
          <w:sz w:val="20"/>
          <w:szCs w:val="20"/>
        </w:rPr>
      </w:pPr>
    </w:p>
    <w:p w:rsidR="00242AD7" w:rsidRPr="00EF67A4" w:rsidRDefault="00242AD7" w:rsidP="00EF67A4">
      <w:pPr>
        <w:pStyle w:val="ListParagraph"/>
        <w:spacing w:after="0" w:line="240" w:lineRule="auto"/>
        <w:ind w:left="0"/>
        <w:jc w:val="both"/>
        <w:rPr>
          <w:rFonts w:ascii="Adobe Garamond Pro" w:hAnsi="Adobe Garamond Pro" w:cs="Times New Roman"/>
          <w:b/>
        </w:rPr>
      </w:pPr>
      <w:r w:rsidRPr="00EF67A4">
        <w:rPr>
          <w:rFonts w:ascii="Adobe Garamond Pro" w:hAnsi="Adobe Garamond Pro" w:cs="Times New Roman"/>
          <w:b/>
        </w:rPr>
        <w:t>Temeljna prava EU nakon Lisabonskog ugovora</w:t>
      </w:r>
    </w:p>
    <w:p w:rsidR="00EF67A4" w:rsidRPr="00242AD7" w:rsidRDefault="00EF67A4" w:rsidP="00EF67A4">
      <w:pPr>
        <w:pStyle w:val="ListParagraph"/>
        <w:spacing w:after="0" w:line="240" w:lineRule="auto"/>
        <w:jc w:val="both"/>
        <w:rPr>
          <w:rFonts w:ascii="Adobe Garamond Pro" w:hAnsi="Adobe Garamond Pro" w:cs="Times New Roman"/>
          <w:b/>
          <w:sz w:val="20"/>
          <w:szCs w:val="20"/>
        </w:rPr>
      </w:pPr>
    </w:p>
    <w:p w:rsid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 xml:space="preserve">Ugovor iz Lisabona donio je, kao sto je već navedeno značajne promjene u području zaštite temeljnih prava u okviru pravnog sustava Europske unije. Dvije središnje točke ovih izmjena odnose se na već postojeće kataloge temeljnih prava na europskoj razini, Povelje Europske unije o temeljnim pravima i Europske konvencije o ljudskim pravima i temeljnim slobodama. Povelja EU o temeljnim pravima postala je pravno obvezujuća i time dio primarnog prava EU. Nadalje su u pravnom sustavu Europske unije stvoreni uvjeti za njeno pristupanje Europskoj konvenciji o ljudskim pravima i temeljnim slobodama. Obe promjene regulirane su i dalje gore spomenutim člankom 6 Ugovora o Europskoj uniji, koji u inačici Lisabonskog ugovora propisuje sljedeće: </w:t>
      </w:r>
    </w:p>
    <w:p w:rsidR="00EF67A4" w:rsidRPr="00242AD7" w:rsidRDefault="00EF67A4" w:rsidP="00242AD7">
      <w:pPr>
        <w:spacing w:after="0" w:line="240" w:lineRule="auto"/>
        <w:jc w:val="both"/>
        <w:rPr>
          <w:rFonts w:ascii="Adobe Garamond Pro" w:hAnsi="Adobe Garamond Pro" w:cs="Times New Roman"/>
          <w:sz w:val="20"/>
          <w:szCs w:val="20"/>
        </w:rPr>
      </w:pPr>
    </w:p>
    <w:p w:rsidR="00242AD7" w:rsidRPr="00EF67A4" w:rsidRDefault="00242AD7" w:rsidP="00EF67A4">
      <w:pPr>
        <w:spacing w:after="0" w:line="240" w:lineRule="auto"/>
        <w:ind w:left="567" w:hanging="283"/>
        <w:jc w:val="both"/>
        <w:rPr>
          <w:rFonts w:ascii="Adobe Garamond Pro" w:hAnsi="Adobe Garamond Pro" w:cs="Times New Roman"/>
          <w:sz w:val="20"/>
          <w:szCs w:val="20"/>
        </w:rPr>
      </w:pPr>
      <w:r w:rsidRPr="00EF67A4">
        <w:rPr>
          <w:rFonts w:ascii="Adobe Garamond Pro" w:hAnsi="Adobe Garamond Pro" w:cs="Times New Roman"/>
          <w:sz w:val="20"/>
          <w:szCs w:val="20"/>
        </w:rPr>
        <w:t xml:space="preserve">„1. Unija priznaje prava, slobode i načela određena Poveljom Europske unije o temeljnim pravima od 7. prosinca 2000. godine kako je prilagođena u Strasbourgu 12. prosinca 2007 godine, koja ima istu pravnu snagu kao Ugovori. Odredbama povelje ni na koji način se ne proširuju nadležnosti Unije kako su utvrđene Ugovorima. Prava, slobode i načela Povelje tumače su u skladu s odredbama glave VII. Povelje kojima se uređuje njezino tumačenje i primjena, uzimajući u obzir objašnjenja iz Povelje kojima se određuju izvori tih odredbi. </w:t>
      </w:r>
    </w:p>
    <w:p w:rsidR="00242AD7" w:rsidRPr="00EF67A4" w:rsidRDefault="00242AD7" w:rsidP="00EF67A4">
      <w:pPr>
        <w:spacing w:after="0" w:line="240" w:lineRule="auto"/>
        <w:ind w:left="567" w:hanging="283"/>
        <w:jc w:val="both"/>
        <w:rPr>
          <w:rFonts w:ascii="Adobe Garamond Pro" w:hAnsi="Adobe Garamond Pro" w:cs="Times New Roman"/>
          <w:sz w:val="20"/>
          <w:szCs w:val="20"/>
        </w:rPr>
      </w:pPr>
      <w:r w:rsidRPr="00EF67A4">
        <w:rPr>
          <w:rFonts w:ascii="Adobe Garamond Pro" w:hAnsi="Adobe Garamond Pro" w:cs="Times New Roman"/>
          <w:sz w:val="20"/>
          <w:szCs w:val="20"/>
        </w:rPr>
        <w:t xml:space="preserve">2. Unija pristupa Europskoj konvenciji za zaštitu ljudskih prava i temeljnih sloboda. To pristupanje ne utječe na nadležnosti Unije kako su utvrđene u Ugovorima. </w:t>
      </w:r>
    </w:p>
    <w:p w:rsidR="00242AD7" w:rsidRPr="00EF67A4" w:rsidRDefault="00242AD7" w:rsidP="00EF67A4">
      <w:pPr>
        <w:spacing w:after="0" w:line="240" w:lineRule="auto"/>
        <w:ind w:left="567" w:hanging="283"/>
        <w:jc w:val="both"/>
        <w:rPr>
          <w:rFonts w:ascii="Adobe Garamond Pro" w:hAnsi="Adobe Garamond Pro" w:cs="Times New Roman"/>
          <w:sz w:val="20"/>
          <w:szCs w:val="20"/>
        </w:rPr>
      </w:pPr>
      <w:r w:rsidRPr="00EF67A4">
        <w:rPr>
          <w:rFonts w:ascii="Adobe Garamond Pro" w:hAnsi="Adobe Garamond Pro" w:cs="Times New Roman"/>
          <w:sz w:val="20"/>
          <w:szCs w:val="20"/>
        </w:rPr>
        <w:t>3. Temeljna prava, kako su zajamčena Europskom konvencijom za zaštitu ljudskih prava i temeljnih sloboda i kako proizlaze iz ustavnih tradicija zajedničkih državama članicama, čine opća načela prava Unije“.</w:t>
      </w:r>
    </w:p>
    <w:p w:rsidR="00242AD7" w:rsidRPr="00242AD7" w:rsidRDefault="00242AD7" w:rsidP="00242AD7">
      <w:pPr>
        <w:spacing w:after="0" w:line="240" w:lineRule="auto"/>
        <w:jc w:val="both"/>
        <w:rPr>
          <w:rFonts w:ascii="Adobe Garamond Pro" w:hAnsi="Adobe Garamond Pro" w:cs="Times New Roman"/>
          <w:i/>
          <w:sz w:val="20"/>
          <w:szCs w:val="20"/>
        </w:rPr>
      </w:pPr>
    </w:p>
    <w:p w:rsidR="00242AD7" w:rsidRPr="00EF67A4" w:rsidRDefault="00242AD7" w:rsidP="00242AD7">
      <w:pPr>
        <w:spacing w:after="0" w:line="240" w:lineRule="auto"/>
        <w:jc w:val="both"/>
        <w:rPr>
          <w:rFonts w:ascii="Adobe Garamond Pro" w:hAnsi="Adobe Garamond Pro" w:cs="Times New Roman"/>
          <w:b/>
        </w:rPr>
      </w:pPr>
      <w:r w:rsidRPr="00EF67A4">
        <w:rPr>
          <w:rFonts w:ascii="Adobe Garamond Pro" w:hAnsi="Adobe Garamond Pro" w:cs="Times New Roman"/>
          <w:b/>
        </w:rPr>
        <w:t>Pravno obvezujuća Povelja EU o temeljnim pravima</w:t>
      </w:r>
    </w:p>
    <w:p w:rsidR="00EF67A4" w:rsidRPr="00242AD7" w:rsidRDefault="00EF67A4" w:rsidP="00242AD7">
      <w:pPr>
        <w:spacing w:after="0" w:line="240" w:lineRule="auto"/>
        <w:jc w:val="both"/>
        <w:rPr>
          <w:rFonts w:ascii="Adobe Garamond Pro" w:hAnsi="Adobe Garamond Pro" w:cs="Times New Roman"/>
          <w:sz w:val="20"/>
          <w:szCs w:val="20"/>
        </w:rPr>
      </w:pPr>
    </w:p>
    <w:p w:rsid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Kako je navedeno u članku 6 Ugovora o EU, Povelja prema novom pravnom temelju ima istu pravnu snagu kao Ugovori. Iako dakle nije postala dio Ugovora, kako je bilo planirano Ugovorom o Ustavu EU, ovo direktno upućivanje integrira Povelju i sva njome regulirana prava u primarno pravo Unije. Time je stvoren ne samo sadržajni, već i normativno-hijerarhijski važan dio materijalnog prava EU, koji osigurava prava i slobode njenih građana. Na ovaj način ipak je uglavnom ispunjena namjera Ugovora o Ustavu EU u području zaštite temeljnih prava</w:t>
      </w:r>
      <w:r w:rsidR="00242AD7" w:rsidRPr="00242AD7">
        <w:rPr>
          <w:rStyle w:val="FootnoteReference"/>
          <w:rFonts w:ascii="Adobe Garamond Pro" w:hAnsi="Adobe Garamond Pro" w:cs="Times New Roman"/>
          <w:sz w:val="20"/>
          <w:szCs w:val="20"/>
        </w:rPr>
        <w:footnoteReference w:id="22"/>
      </w:r>
      <w:r w:rsidR="00242AD7" w:rsidRPr="00242AD7">
        <w:rPr>
          <w:rFonts w:ascii="Adobe Garamond Pro" w:hAnsi="Adobe Garamond Pro" w:cs="Times New Roman"/>
          <w:sz w:val="20"/>
          <w:szCs w:val="20"/>
        </w:rPr>
        <w:t xml:space="preserve"> Obvezujuća pravna snaga Povelje učvrstila je svakako </w:t>
      </w:r>
      <w:r w:rsidR="00242AD7" w:rsidRPr="00242AD7">
        <w:rPr>
          <w:rFonts w:ascii="Adobe Garamond Pro" w:hAnsi="Adobe Garamond Pro" w:cs="Times New Roman"/>
          <w:sz w:val="20"/>
          <w:szCs w:val="20"/>
        </w:rPr>
        <w:lastRenderedPageBreak/>
        <w:t>zajednički vrijednosni temelj Unije, ali je i stvorila izravan odnos pojedinca i institucija Unije, koji je inače nepoznat međunarodnom pravu.</w:t>
      </w:r>
      <w:r w:rsidR="00242AD7" w:rsidRPr="00242AD7">
        <w:rPr>
          <w:rStyle w:val="FootnoteReference"/>
          <w:rFonts w:ascii="Adobe Garamond Pro" w:hAnsi="Adobe Garamond Pro" w:cs="Times New Roman"/>
          <w:sz w:val="20"/>
          <w:szCs w:val="20"/>
        </w:rPr>
        <w:footnoteReference w:id="23"/>
      </w:r>
    </w:p>
    <w:p w:rsidR="00EF67A4" w:rsidRPr="00242AD7" w:rsidRDefault="00EF67A4" w:rsidP="00242AD7">
      <w:pPr>
        <w:spacing w:after="0" w:line="240" w:lineRule="auto"/>
        <w:jc w:val="both"/>
        <w:rPr>
          <w:rFonts w:ascii="Adobe Garamond Pro" w:hAnsi="Adobe Garamond Pro" w:cs="Times New Roman"/>
          <w:sz w:val="20"/>
          <w:szCs w:val="20"/>
        </w:rPr>
      </w:pPr>
    </w:p>
    <w:p w:rsid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Ipak, kada govorimo o sadržaju pojedinih prava i sloboda, reguliranih Poveljom, njenom obvezujućom pravnom snagom, nije došlo do značajnih promjena u ovom smislu. Već je navedeno da je Povelja obuhvatila ona prava, koja su bila razvijena i poštivana kao opći principi prava EU. Izuzetak od ove tvrdnje čine socijalna prava i jamstva, koja su propisana pod četvrtim naslovom Povelje pod nazivom „Solidarnost“, gdje pripadaju na primjer pravo na pristup službama za posredovanje pri zapošljavanju, pravo na zdravstvenu zaštitu, pošteni i pravični radni uvjeti itd.</w:t>
      </w:r>
      <w:r w:rsidR="00242AD7" w:rsidRPr="00242AD7">
        <w:rPr>
          <w:rStyle w:val="FootnoteReference"/>
          <w:rFonts w:ascii="Adobe Garamond Pro" w:hAnsi="Adobe Garamond Pro" w:cs="Times New Roman"/>
          <w:sz w:val="20"/>
          <w:szCs w:val="20"/>
        </w:rPr>
        <w:footnoteReference w:id="24"/>
      </w:r>
      <w:r w:rsidR="00242AD7" w:rsidRPr="00242AD7">
        <w:rPr>
          <w:rFonts w:ascii="Adobe Garamond Pro" w:hAnsi="Adobe Garamond Pro" w:cs="Times New Roman"/>
          <w:sz w:val="20"/>
          <w:szCs w:val="20"/>
        </w:rPr>
        <w:t xml:space="preserve"> Ovim dijelom Povelje uzete su u obzir već postojeće povelje o ovim vrstama prava, konkretno Europska povelja o socijalnim pravima</w:t>
      </w:r>
      <w:r w:rsidR="00242AD7" w:rsidRPr="00242AD7">
        <w:rPr>
          <w:rStyle w:val="FootnoteReference"/>
          <w:rFonts w:ascii="Adobe Garamond Pro" w:hAnsi="Adobe Garamond Pro" w:cs="Times New Roman"/>
          <w:sz w:val="20"/>
          <w:szCs w:val="20"/>
        </w:rPr>
        <w:footnoteReference w:id="25"/>
      </w:r>
      <w:r w:rsidR="00242AD7" w:rsidRPr="00242AD7">
        <w:rPr>
          <w:rFonts w:ascii="Adobe Garamond Pro" w:hAnsi="Adobe Garamond Pro" w:cs="Times New Roman"/>
          <w:sz w:val="20"/>
          <w:szCs w:val="20"/>
        </w:rPr>
        <w:t xml:space="preserve"> i Povelja Zajednice o socijalnim temeljnim pravima radnika.</w:t>
      </w:r>
      <w:r w:rsidR="00242AD7" w:rsidRPr="00242AD7">
        <w:rPr>
          <w:rStyle w:val="FootnoteReference"/>
          <w:rFonts w:ascii="Adobe Garamond Pro" w:hAnsi="Adobe Garamond Pro" w:cs="Times New Roman"/>
          <w:sz w:val="20"/>
          <w:szCs w:val="20"/>
        </w:rPr>
        <w:footnoteReference w:id="26"/>
      </w:r>
      <w:r w:rsidR="00242AD7" w:rsidRPr="00242AD7">
        <w:rPr>
          <w:rFonts w:ascii="Adobe Garamond Pro" w:hAnsi="Adobe Garamond Pro" w:cs="Times New Roman"/>
          <w:sz w:val="20"/>
          <w:szCs w:val="20"/>
        </w:rPr>
        <w:t xml:space="preserve"> Ipak, upitno je da li je kroz formulaciju socijalnih prava i jamstava u Povelji doista sadržajno proširena zaštita temeljnih prava EU. Naime, iz samih formulacija ovih prava, vidljivo je da se njihova pravna snaga i primjenjivost bitno razlikuje od ostalih građanskih prava, sloboda i odredbi o ravnopravnosti, reguliranih Poveljom. Naglašeno je u vezi s tim da socijalna prava i jamstva, moraju biti garantirana na način i pod uvjetima koje propisuju pravo Unije, nacionalni zakoni članica i praksa. Za provedbu ovih prava potrebne su dakle relevantne mjere u okviru prava Unije ili zemalja članica. Upravo o ovome govori i članak 52 Povelje pod nazivom „Opseg i tumačenje prava i načela“</w:t>
      </w:r>
      <w:r w:rsidR="00242AD7" w:rsidRPr="00242AD7">
        <w:rPr>
          <w:rStyle w:val="FootnoteReference"/>
          <w:rFonts w:ascii="Adobe Garamond Pro" w:hAnsi="Adobe Garamond Pro" w:cs="Times New Roman"/>
          <w:sz w:val="20"/>
          <w:szCs w:val="20"/>
        </w:rPr>
        <w:footnoteReference w:id="27"/>
      </w:r>
      <w:r w:rsidR="00242AD7" w:rsidRPr="00242AD7">
        <w:rPr>
          <w:rFonts w:ascii="Adobe Garamond Pro" w:hAnsi="Adobe Garamond Pro" w:cs="Times New Roman"/>
          <w:sz w:val="20"/>
          <w:szCs w:val="20"/>
        </w:rPr>
        <w:t>. Prema stavku 2 ovog članka odredbe Povelje, koje sadržavaju načela mogu biti provedene zakonodavnim i izvršnim aktima institucija, tijela, ureda i agencija Unije te aktima država članica, dok u izvršavanju svojih ovlasti provode pravo Unije. One su u sudskoj nadležnosti samo u okviru tumačenja tih akata te u presudama o njihovoj zakonitosti. Značenje Povelje je dakle po pitanju ovih prava ograničeno na funkciju mjerila u odnosu na provedbu, čime bi trebala biti isključena mogućnost izvođenja naloga za činidbu iz ove vrste prava.</w:t>
      </w:r>
      <w:r w:rsidR="00242AD7" w:rsidRPr="00242AD7">
        <w:rPr>
          <w:rStyle w:val="FootnoteReference"/>
          <w:rFonts w:ascii="Adobe Garamond Pro" w:hAnsi="Adobe Garamond Pro" w:cs="Times New Roman"/>
          <w:sz w:val="20"/>
          <w:szCs w:val="20"/>
        </w:rPr>
        <w:footnoteReference w:id="28"/>
      </w:r>
      <w:r w:rsidR="00242AD7" w:rsidRPr="00242AD7">
        <w:rPr>
          <w:rFonts w:ascii="Adobe Garamond Pro" w:hAnsi="Adobe Garamond Pro" w:cs="Times New Roman"/>
          <w:sz w:val="20"/>
          <w:szCs w:val="20"/>
        </w:rPr>
        <w:t xml:space="preserve"> Stoga se može zaključiti da zaštita temeljnih prava obvezujućom pravnom snagom Povelje nije značajnije proširena u sadržajnom smislu, jer je većina u njoj sadržanih prava već bila razvijena kroz sudsku praksu Suda EU i bila zajednička ustavnim tradicijama svih zemalja članica. Za prava koja su sadržajno donosila promjene, kao što je pokazano, uvedena su određena ograničenja u pogledu provedbi, vezana za već postojeće provedbene propise Unije </w:t>
      </w:r>
      <w:r w:rsidR="00242AD7" w:rsidRPr="00242AD7">
        <w:rPr>
          <w:rFonts w:ascii="Adobe Garamond Pro" w:hAnsi="Adobe Garamond Pro" w:cs="Times New Roman"/>
          <w:sz w:val="20"/>
          <w:szCs w:val="20"/>
        </w:rPr>
        <w:lastRenderedPageBreak/>
        <w:t>ili pojedinih država članica. Kada govorimo o ograničenjima Povelje, potrebno je spomenuti i Protokol broj 30 Lisabonskog ugovora o primjeni Povelje na Poljsku i Ujedinjeno Kraljevstvo.</w:t>
      </w:r>
      <w:r w:rsidR="00242AD7" w:rsidRPr="00242AD7">
        <w:rPr>
          <w:rStyle w:val="FootnoteReference"/>
          <w:rFonts w:ascii="Adobe Garamond Pro" w:hAnsi="Adobe Garamond Pro" w:cs="Times New Roman"/>
          <w:sz w:val="20"/>
          <w:szCs w:val="20"/>
        </w:rPr>
        <w:footnoteReference w:id="29"/>
      </w:r>
      <w:r w:rsidR="00242AD7" w:rsidRPr="00242AD7">
        <w:rPr>
          <w:rFonts w:ascii="Adobe Garamond Pro" w:hAnsi="Adobe Garamond Pro" w:cs="Times New Roman"/>
          <w:sz w:val="20"/>
          <w:szCs w:val="20"/>
        </w:rPr>
        <w:t xml:space="preserve"> Navedeni Protokol sadrži izričitu odredbu za Poljsku i Ujedinjeno Kraljevstvo, prema kojoj se Poveljom ne proširuje nadležnost Suda Europske unije ili bilo kojeg drugog suda Poljske ili Ujedinjenog Kraljevstva da odlučuje o neusklađenosti zakona, uredbi ili upravnih odredbi, praksi ili djelovanja ovih država s temeljnim pravima, slobodama i načelima, koja se ponovno potvrđuju Poveljom. Posebno je naglašeno i da već spomenute odredbe pod naslovom „Solidarnost“ ne stvaraju nikakva utuživa prava, ukoliko ista nisu sadržana u sustavima ovih dvaju zemalja. Odredbama protokola, ne isključuje se dakle važenje Povelje na području Poljske i Ujedinjenog Kraljevstva, niti pozivanje na istu pred njihovim sudovima, već samo proširivanje nadležnosti sudova i stvaranje novih prava na osnovu Povelje u odnosu na domaće zakonodavstvo ovih država. </w:t>
      </w:r>
    </w:p>
    <w:p w:rsidR="00EF67A4" w:rsidRPr="00242AD7" w:rsidRDefault="00EF67A4" w:rsidP="00242AD7">
      <w:pPr>
        <w:spacing w:after="0" w:line="240" w:lineRule="auto"/>
        <w:jc w:val="both"/>
        <w:rPr>
          <w:rFonts w:ascii="Adobe Garamond Pro" w:hAnsi="Adobe Garamond Pro" w:cs="Times New Roman"/>
          <w:sz w:val="20"/>
          <w:szCs w:val="20"/>
        </w:rPr>
      </w:pPr>
    </w:p>
    <w:p w:rsidR="00242AD7" w:rsidRP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Ipak, potrebno je naglasiti kako ovakav izuzetak za dvije države članice nije u potpunosti u skladu sa svrhom Povelje, kao sveobuhvatnim jedinstvenim fundamentom za zaštitu temeljnih prava u Europskoj uniji, koja sama počiva na zajedničkim vrijednostima, važećim jednako za sve njene članice.</w:t>
      </w:r>
    </w:p>
    <w:p w:rsidR="00242AD7" w:rsidRPr="00242AD7" w:rsidRDefault="00242AD7" w:rsidP="00242AD7">
      <w:pPr>
        <w:spacing w:after="0" w:line="240" w:lineRule="auto"/>
        <w:jc w:val="both"/>
        <w:rPr>
          <w:rFonts w:ascii="Adobe Garamond Pro" w:hAnsi="Adobe Garamond Pro" w:cs="Times New Roman"/>
          <w:sz w:val="20"/>
          <w:szCs w:val="20"/>
        </w:rPr>
      </w:pPr>
    </w:p>
    <w:p w:rsidR="00242AD7" w:rsidRPr="00EF67A4" w:rsidRDefault="00242AD7" w:rsidP="00242AD7">
      <w:pPr>
        <w:spacing w:after="0" w:line="240" w:lineRule="auto"/>
        <w:jc w:val="both"/>
        <w:rPr>
          <w:rFonts w:ascii="Adobe Garamond Pro" w:hAnsi="Adobe Garamond Pro" w:cs="Times New Roman"/>
          <w:b/>
        </w:rPr>
      </w:pPr>
      <w:r w:rsidRPr="00EF67A4">
        <w:rPr>
          <w:rFonts w:ascii="Adobe Garamond Pro" w:hAnsi="Adobe Garamond Pro" w:cs="Times New Roman"/>
          <w:b/>
        </w:rPr>
        <w:t xml:space="preserve">Pristupanje Europske unije Europskoj povelji o ljudskim pravima i temeljnim slobodama </w:t>
      </w:r>
    </w:p>
    <w:p w:rsidR="00EF67A4" w:rsidRPr="00242AD7" w:rsidRDefault="00EF67A4" w:rsidP="00242AD7">
      <w:pPr>
        <w:spacing w:after="0" w:line="240" w:lineRule="auto"/>
        <w:jc w:val="both"/>
        <w:rPr>
          <w:rFonts w:ascii="Adobe Garamond Pro" w:hAnsi="Adobe Garamond Pro"/>
          <w:sz w:val="20"/>
          <w:szCs w:val="20"/>
        </w:rPr>
      </w:pPr>
    </w:p>
    <w:p w:rsid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Članak 6 stavak 2 Ugovora o Europskoj uniji u inačici iz Lisabona propisuje drugu veliku promjenu za područje temeljnih prava, tj. pristupanje Unije Europskoj konvenciji o ljudskim pravima i temeljnim slobodama. Time je riješeno pitanje, koje se već dugo vremena postavljalo u dijalogu između institucija Unije. Europska komisija je još sedamdesetih godina objavila prijedlog za pristupanje Zajednice Konvenciji</w:t>
      </w:r>
      <w:r w:rsidR="00242AD7" w:rsidRPr="00242AD7">
        <w:rPr>
          <w:rStyle w:val="FootnoteReference"/>
          <w:rFonts w:ascii="Adobe Garamond Pro" w:hAnsi="Adobe Garamond Pro" w:cs="Times New Roman"/>
          <w:sz w:val="20"/>
          <w:szCs w:val="20"/>
        </w:rPr>
        <w:footnoteReference w:id="30"/>
      </w:r>
      <w:r w:rsidR="00242AD7" w:rsidRPr="00242AD7">
        <w:rPr>
          <w:rFonts w:ascii="Adobe Garamond Pro" w:hAnsi="Adobe Garamond Pro" w:cs="Times New Roman"/>
          <w:sz w:val="20"/>
          <w:szCs w:val="20"/>
        </w:rPr>
        <w:t>, ali koji nije bio prihvaćen od strane Vijeća.</w:t>
      </w:r>
      <w:r w:rsidR="00242AD7" w:rsidRPr="00242AD7">
        <w:rPr>
          <w:rStyle w:val="FootnoteReference"/>
          <w:rFonts w:ascii="Adobe Garamond Pro" w:hAnsi="Adobe Garamond Pro" w:cs="Times New Roman"/>
          <w:sz w:val="20"/>
          <w:szCs w:val="20"/>
        </w:rPr>
        <w:footnoteReference w:id="31"/>
      </w:r>
      <w:r w:rsidR="00242AD7" w:rsidRPr="00242AD7">
        <w:rPr>
          <w:rFonts w:ascii="Adobe Garamond Pro" w:hAnsi="Adobe Garamond Pro" w:cs="Times New Roman"/>
          <w:sz w:val="20"/>
          <w:szCs w:val="20"/>
        </w:rPr>
        <w:t xml:space="preserve"> Značajniji kasniji korak učinio je Sud EU, objavivši na inicijativu Vijeća Mišljenje o usklađenosti pristupanja tadašnje Europske zajednice Europskoj konvenciji s odredbama Ugovora o osnivanju Europske zajednice</w:t>
      </w:r>
      <w:r w:rsidR="00242AD7" w:rsidRPr="00242AD7">
        <w:rPr>
          <w:rStyle w:val="FootnoteReference"/>
          <w:rFonts w:ascii="Adobe Garamond Pro" w:hAnsi="Adobe Garamond Pro" w:cs="Times New Roman"/>
          <w:sz w:val="20"/>
          <w:szCs w:val="20"/>
        </w:rPr>
        <w:footnoteReference w:id="32"/>
      </w:r>
      <w:r w:rsidR="00242AD7" w:rsidRPr="00242AD7">
        <w:rPr>
          <w:rFonts w:ascii="Adobe Garamond Pro" w:hAnsi="Adobe Garamond Pro" w:cs="Times New Roman"/>
          <w:sz w:val="20"/>
          <w:szCs w:val="20"/>
        </w:rPr>
        <w:t xml:space="preserve">. Kako je Sud utvrdio u predmetnom Mišljenju pristupanje Unije Konvenciji uzrokovalo bi promjenu sustava zaštite ljudskih prava Zajednice te imalo značajne institucionalne učinke na Zajednicu i zemlje članice te je istu moguće samo provesti kroz izmjenu osnivačkih ugovora. Zahtijevani uvjet ispunjen je Ugovorom iz Lisabona prema čemu izmijenjeni članak 6 (2) izričito regulira da Europska unija pristupa </w:t>
      </w:r>
      <w:r>
        <w:rPr>
          <w:rFonts w:ascii="Adobe Garamond Pro" w:hAnsi="Adobe Garamond Pro" w:cs="Times New Roman"/>
          <w:sz w:val="20"/>
          <w:szCs w:val="20"/>
        </w:rPr>
        <w:lastRenderedPageBreak/>
        <w:tab/>
      </w:r>
      <w:r w:rsidR="00242AD7" w:rsidRPr="00242AD7">
        <w:rPr>
          <w:rFonts w:ascii="Adobe Garamond Pro" w:hAnsi="Adobe Garamond Pro" w:cs="Times New Roman"/>
          <w:sz w:val="20"/>
          <w:szCs w:val="20"/>
        </w:rPr>
        <w:t>Konvenciji. Ovom formulacijom formirano je s jedne strane ovlaštenje za pristupanje</w:t>
      </w:r>
      <w:r w:rsidR="00242AD7" w:rsidRPr="00242AD7">
        <w:rPr>
          <w:rStyle w:val="FootnoteReference"/>
          <w:rFonts w:ascii="Adobe Garamond Pro" w:hAnsi="Adobe Garamond Pro" w:cs="Times New Roman"/>
          <w:sz w:val="20"/>
          <w:szCs w:val="20"/>
        </w:rPr>
        <w:footnoteReference w:id="33"/>
      </w:r>
      <w:r w:rsidR="00242AD7" w:rsidRPr="00242AD7">
        <w:rPr>
          <w:rFonts w:ascii="Adobe Garamond Pro" w:hAnsi="Adobe Garamond Pro" w:cs="Times New Roman"/>
          <w:sz w:val="20"/>
          <w:szCs w:val="20"/>
        </w:rPr>
        <w:t>, ali i obveza Unije da pristupi Konvenciji, što podrazumijeva poduzimanje svih potrebnih koraka od strane Unije i država članica u ovom smjeru.</w:t>
      </w:r>
      <w:r w:rsidR="00242AD7" w:rsidRPr="00242AD7">
        <w:rPr>
          <w:rStyle w:val="FootnoteReference"/>
          <w:rFonts w:ascii="Adobe Garamond Pro" w:hAnsi="Adobe Garamond Pro" w:cs="Times New Roman"/>
          <w:sz w:val="20"/>
          <w:szCs w:val="20"/>
        </w:rPr>
        <w:footnoteReference w:id="34"/>
      </w:r>
      <w:r w:rsidR="00242AD7" w:rsidRPr="00242AD7">
        <w:rPr>
          <w:rFonts w:ascii="Adobe Garamond Pro" w:hAnsi="Adobe Garamond Pro" w:cs="Times New Roman"/>
          <w:sz w:val="20"/>
          <w:szCs w:val="20"/>
        </w:rPr>
        <w:t xml:space="preserve"> Dodatno, članak 6 sadrži i klauzulu o očuvanju postojećih nadležnosti Unije, prema kojoj pristupanje Konvenciji ne utječe na nadležnosti Unije, kako su utvrđene ugovorima. Evidentno je da ovim ponovno dolazi do izraza nastojanje nekih zemalja članica da se izbjegne daljnje širenje nadležnosti Unije u području zaštite temeljnih prava</w:t>
      </w:r>
      <w:r w:rsidR="00242AD7" w:rsidRPr="00242AD7">
        <w:rPr>
          <w:rStyle w:val="FootnoteReference"/>
          <w:rFonts w:ascii="Adobe Garamond Pro" w:hAnsi="Adobe Garamond Pro" w:cs="Times New Roman"/>
          <w:sz w:val="20"/>
          <w:szCs w:val="20"/>
        </w:rPr>
        <w:footnoteReference w:id="35"/>
      </w:r>
      <w:r w:rsidR="00242AD7" w:rsidRPr="00242AD7">
        <w:rPr>
          <w:rFonts w:ascii="Adobe Garamond Pro" w:hAnsi="Adobe Garamond Pro" w:cs="Times New Roman"/>
          <w:sz w:val="20"/>
          <w:szCs w:val="20"/>
        </w:rPr>
        <w:t>.</w:t>
      </w:r>
    </w:p>
    <w:p w:rsidR="00EF67A4" w:rsidRPr="00242AD7" w:rsidRDefault="00EF67A4" w:rsidP="00242AD7">
      <w:pPr>
        <w:spacing w:after="0" w:line="240" w:lineRule="auto"/>
        <w:jc w:val="both"/>
        <w:rPr>
          <w:rFonts w:ascii="Adobe Garamond Pro" w:hAnsi="Adobe Garamond Pro" w:cs="Times New Roman"/>
          <w:sz w:val="20"/>
          <w:szCs w:val="20"/>
        </w:rPr>
      </w:pPr>
    </w:p>
    <w:p w:rsid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Odredba o očuvanju postojećih nadležnosti Unije i ovlasti njenih organa ponovljena je i u Protokolu broj 8 o pristupanju Unije Europskoj konvenciji o ljudskim pravima i temeljnim slobodama.</w:t>
      </w:r>
      <w:r w:rsidR="00242AD7" w:rsidRPr="00242AD7">
        <w:rPr>
          <w:rStyle w:val="FootnoteReference"/>
          <w:rFonts w:ascii="Adobe Garamond Pro" w:hAnsi="Adobe Garamond Pro" w:cs="Times New Roman"/>
          <w:sz w:val="20"/>
          <w:szCs w:val="20"/>
        </w:rPr>
        <w:footnoteReference w:id="36"/>
      </w:r>
      <w:r w:rsidR="00242AD7" w:rsidRPr="00242AD7">
        <w:rPr>
          <w:rFonts w:ascii="Adobe Garamond Pro" w:hAnsi="Adobe Garamond Pro" w:cs="Times New Roman"/>
          <w:sz w:val="20"/>
          <w:szCs w:val="20"/>
        </w:rPr>
        <w:t xml:space="preserve"> Isti dodatno pojašnjava da budući Sporazum o pristupanju ne utječe na položaj država članica u odnosu na Konvenciju, njene Protokole, mjere odstupanja od Konvencije ili rezerve na pojedine njene odredbe. Sporazumom će dakle predviđati očuvanje značajki Unije i prava EU, a posebno onih koji se odnose na posebne aranžmane za moguće sudjelovanje Unije u nadzornim tijelima Europske konvencije i mehanizme, koji su potrebni kako bi se osiguralo da postupci  od strane država nečlanica Unije i pojedine tužbe budu odgovarajuće upućene državama članicama i Uniji. U okviru pregovora između država članica Vijeća Europe i Europske unije pripremljen je nacrt Sporazuma o pristupanju EU Europskoj konvenciji.</w:t>
      </w:r>
      <w:r w:rsidR="00242AD7" w:rsidRPr="00242AD7">
        <w:rPr>
          <w:rStyle w:val="FootnoteReference"/>
          <w:rFonts w:ascii="Adobe Garamond Pro" w:hAnsi="Adobe Garamond Pro" w:cs="Times New Roman"/>
          <w:sz w:val="20"/>
          <w:szCs w:val="20"/>
        </w:rPr>
        <w:footnoteReference w:id="37"/>
      </w:r>
      <w:r w:rsidR="00242AD7" w:rsidRPr="00242AD7">
        <w:rPr>
          <w:rFonts w:ascii="Adobe Garamond Pro" w:hAnsi="Adobe Garamond Pro" w:cs="Times New Roman"/>
          <w:sz w:val="20"/>
          <w:szCs w:val="20"/>
        </w:rPr>
        <w:t xml:space="preserve"> Sporazum će biti sklopljen u skladu s procedurom reguliranom člankom 218 Ugovora o funkcioniranju Europske unije o pregovorima i sklapanju sporazuma između Unije i trećih zemalja ili međunarodnih organizacija</w:t>
      </w:r>
      <w:r w:rsidR="00242AD7" w:rsidRPr="00242AD7">
        <w:rPr>
          <w:rStyle w:val="FootnoteReference"/>
          <w:rFonts w:ascii="Adobe Garamond Pro" w:hAnsi="Adobe Garamond Pro" w:cs="Times New Roman"/>
          <w:sz w:val="20"/>
          <w:szCs w:val="20"/>
        </w:rPr>
        <w:footnoteReference w:id="38"/>
      </w:r>
      <w:r w:rsidR="00242AD7" w:rsidRPr="00242AD7">
        <w:rPr>
          <w:rFonts w:ascii="Adobe Garamond Pro" w:hAnsi="Adobe Garamond Pro" w:cs="Times New Roman"/>
          <w:sz w:val="20"/>
          <w:szCs w:val="20"/>
        </w:rPr>
        <w:t xml:space="preserve"> Prema tome, izričito je regulirano da odluku o sklapanju sporazuma o pristupanju Konvenciji donosi Vijeće jednoglasno uz prethodnu suglasnost Europskog parlamenta te ista stupa na snagu nakon što je odobre sve države članice u skladu sa svojim odgovarajućim ustavnim odredbama. Kako je vidljivo procedura za sklapanje sporazuma o pristupanju Konvenciji regulirana je posebno u Ugovoru o funkcioniranju EU, uz pojačane zahtjeve jednoglasne odluke Vijeća, suglasnosti Europskog parlamenta i obveznu ratifikaciju u državama članicama, čime je izražena posebna važnost ovog procesa i naglašen značaj promjena koje će pristupanje Unije Konvenciji donijeti za </w:t>
      </w:r>
      <w:r w:rsidR="00242AD7" w:rsidRPr="00242AD7">
        <w:rPr>
          <w:rFonts w:ascii="Adobe Garamond Pro" w:hAnsi="Adobe Garamond Pro" w:cs="Times New Roman"/>
          <w:sz w:val="20"/>
          <w:szCs w:val="20"/>
        </w:rPr>
        <w:lastRenderedPageBreak/>
        <w:t>sustav zaštite temeljnih prava u samoj Uniji, ali i u svakoj državi članici. No s druge strane, opisana regulacija, može imati za posljedicu vremensku neizvjesnost stupanja na snagu ovog sporazuma, ali i otvoriti mogućnost blokada procesa ratifikacije u pojedinim državama članicama.</w:t>
      </w:r>
      <w:r w:rsidR="00242AD7" w:rsidRPr="00242AD7">
        <w:rPr>
          <w:rStyle w:val="FootnoteReference"/>
          <w:rFonts w:ascii="Adobe Garamond Pro" w:hAnsi="Adobe Garamond Pro" w:cs="Times New Roman"/>
          <w:sz w:val="20"/>
          <w:szCs w:val="20"/>
        </w:rPr>
        <w:footnoteReference w:id="39"/>
      </w:r>
    </w:p>
    <w:p w:rsidR="00EF67A4" w:rsidRPr="00242AD7" w:rsidRDefault="00EF67A4" w:rsidP="00242AD7">
      <w:pPr>
        <w:spacing w:after="0" w:line="240" w:lineRule="auto"/>
        <w:jc w:val="both"/>
        <w:rPr>
          <w:rFonts w:ascii="Adobe Garamond Pro" w:hAnsi="Adobe Garamond Pro" w:cs="Times New Roman"/>
          <w:sz w:val="20"/>
          <w:szCs w:val="20"/>
        </w:rPr>
      </w:pPr>
    </w:p>
    <w:p w:rsidR="00242AD7" w:rsidRP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Pristupanje Europske unije Konvenciji stavilo je istovremeno određene zahtjeve za promjenama i pred Vijeće Europe. Naime, prema članku 59 stavku 1 Konvencije, samo države kao članovi Vijeća Europe mogu pristupiti Konvenciji</w:t>
      </w:r>
      <w:r w:rsidR="00242AD7" w:rsidRPr="00242AD7">
        <w:rPr>
          <w:rStyle w:val="FootnoteReference"/>
          <w:rFonts w:ascii="Adobe Garamond Pro" w:hAnsi="Adobe Garamond Pro" w:cs="Times New Roman"/>
          <w:sz w:val="20"/>
          <w:szCs w:val="20"/>
        </w:rPr>
        <w:footnoteReference w:id="40"/>
      </w:r>
      <w:r w:rsidR="00242AD7" w:rsidRPr="00242AD7">
        <w:rPr>
          <w:rFonts w:ascii="Adobe Garamond Pro" w:hAnsi="Adobe Garamond Pro" w:cs="Times New Roman"/>
          <w:sz w:val="20"/>
          <w:szCs w:val="20"/>
        </w:rPr>
        <w:t xml:space="preserve"> Potrebna prilagodba ispunjena je 14. dodatnim protokolom Konvencije, čime je izričito predviđeno da Europska unija može pristupiti Konvenciji.</w:t>
      </w:r>
    </w:p>
    <w:p w:rsidR="00242AD7" w:rsidRPr="00242AD7" w:rsidRDefault="00242AD7" w:rsidP="00242AD7">
      <w:pPr>
        <w:spacing w:after="0" w:line="240" w:lineRule="auto"/>
        <w:jc w:val="both"/>
        <w:rPr>
          <w:rFonts w:ascii="Adobe Garamond Pro" w:hAnsi="Adobe Garamond Pro" w:cs="Times New Roman"/>
          <w:sz w:val="20"/>
          <w:szCs w:val="20"/>
        </w:rPr>
      </w:pPr>
      <w:r w:rsidRPr="00242AD7">
        <w:rPr>
          <w:rFonts w:ascii="Adobe Garamond Pro" w:hAnsi="Adobe Garamond Pro" w:cs="Times New Roman"/>
          <w:sz w:val="20"/>
          <w:szCs w:val="20"/>
        </w:rPr>
        <w:t xml:space="preserve">Na opisani način su dakle i u sastavu Europske unije i Europske konvencije za zaštitu ljudskih prava i temeljnih sloboda ispunjeni pravni uvjeti za pristupanje te je još potrebno da se formalno provedu navedene procedure, nakon čega će Europska unija konačno postati punopravni član Europske konvencije. </w:t>
      </w:r>
    </w:p>
    <w:p w:rsidR="00242AD7" w:rsidRPr="00242AD7" w:rsidRDefault="00242AD7" w:rsidP="00242AD7">
      <w:pPr>
        <w:spacing w:after="0" w:line="240" w:lineRule="auto"/>
        <w:jc w:val="both"/>
        <w:rPr>
          <w:rFonts w:ascii="Adobe Garamond Pro" w:hAnsi="Adobe Garamond Pro" w:cs="Times New Roman"/>
          <w:sz w:val="20"/>
          <w:szCs w:val="20"/>
        </w:rPr>
      </w:pPr>
    </w:p>
    <w:p w:rsidR="00EF67A4" w:rsidRDefault="00242AD7" w:rsidP="00EF67A4">
      <w:pPr>
        <w:spacing w:after="0" w:line="240" w:lineRule="auto"/>
        <w:rPr>
          <w:rFonts w:ascii="Adobe Garamond Pro" w:hAnsi="Adobe Garamond Pro" w:cs="Times New Roman"/>
          <w:b/>
        </w:rPr>
      </w:pPr>
      <w:r w:rsidRPr="00EF67A4">
        <w:rPr>
          <w:rFonts w:ascii="Adobe Garamond Pro" w:hAnsi="Adobe Garamond Pro" w:cs="Times New Roman"/>
          <w:b/>
        </w:rPr>
        <w:t>Odnos Suda EU, Europskog suda za ljudska prava i ustavnih</w:t>
      </w:r>
    </w:p>
    <w:p w:rsidR="00242AD7" w:rsidRPr="00EF67A4" w:rsidRDefault="00242AD7" w:rsidP="00EF67A4">
      <w:pPr>
        <w:spacing w:after="0" w:line="240" w:lineRule="auto"/>
        <w:rPr>
          <w:rFonts w:ascii="Adobe Garamond Pro" w:hAnsi="Adobe Garamond Pro" w:cs="Times New Roman"/>
          <w:b/>
        </w:rPr>
      </w:pPr>
      <w:r w:rsidRPr="00EF67A4">
        <w:rPr>
          <w:rFonts w:ascii="Adobe Garamond Pro" w:hAnsi="Adobe Garamond Pro" w:cs="Times New Roman"/>
          <w:b/>
        </w:rPr>
        <w:t>sudova država članica</w:t>
      </w:r>
    </w:p>
    <w:p w:rsidR="00EF67A4" w:rsidRPr="00242AD7" w:rsidRDefault="00EF67A4" w:rsidP="00242AD7">
      <w:pPr>
        <w:spacing w:after="0" w:line="240" w:lineRule="auto"/>
        <w:jc w:val="both"/>
        <w:rPr>
          <w:rFonts w:ascii="Adobe Garamond Pro" w:hAnsi="Adobe Garamond Pro" w:cs="Times New Roman"/>
          <w:sz w:val="20"/>
          <w:szCs w:val="20"/>
        </w:rPr>
      </w:pPr>
    </w:p>
    <w:p w:rsid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Sud Europske unije, Europski sud za ljudska prava i ustavni sudovi država članica, predstavljaju različite razine jurisdikcije, u okviru različitih pravnih sustava, no čiju poveznicu čini nadležnost svih za zaštitu temeljnih prava u okviru ovih sustava. Odnos navedenih sudova često diskutiran u literaturi, zbog mnogih nejasnoća se čak nazivao i sudski „Bermudski trokut“ te mu se pripisivao učinak gubitka jedinstva pravnog poretka, rascjepkanosti prava i mogućnost donošenja suprotnih odluka o istim problemima</w:t>
      </w:r>
      <w:r w:rsidR="00242AD7" w:rsidRPr="00242AD7">
        <w:rPr>
          <w:rStyle w:val="FootnoteReference"/>
          <w:rFonts w:ascii="Adobe Garamond Pro" w:hAnsi="Adobe Garamond Pro" w:cs="Times New Roman"/>
          <w:sz w:val="20"/>
          <w:szCs w:val="20"/>
        </w:rPr>
        <w:footnoteReference w:id="41"/>
      </w:r>
      <w:r w:rsidR="00242AD7" w:rsidRPr="00242AD7">
        <w:rPr>
          <w:rFonts w:ascii="Adobe Garamond Pro" w:hAnsi="Adobe Garamond Pro" w:cs="Times New Roman"/>
          <w:sz w:val="20"/>
          <w:szCs w:val="20"/>
        </w:rPr>
        <w:t xml:space="preserve"> S obzirom na već predstavljene promjene u području temeljnih prava kroz Lisabonski ugovor, postavlja se pitanje u kojem su smjeru iste utjecale na odnose ovih sudova i njihove nadležnosti. </w:t>
      </w:r>
    </w:p>
    <w:p w:rsidR="00EF67A4" w:rsidRPr="00242AD7" w:rsidRDefault="00EF67A4" w:rsidP="00242AD7">
      <w:pPr>
        <w:spacing w:after="0" w:line="240" w:lineRule="auto"/>
        <w:jc w:val="both"/>
        <w:rPr>
          <w:rFonts w:ascii="Adobe Garamond Pro" w:hAnsi="Adobe Garamond Pro" w:cs="Times New Roman"/>
          <w:sz w:val="20"/>
          <w:szCs w:val="20"/>
        </w:rPr>
      </w:pPr>
    </w:p>
    <w:p w:rsid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Prvenstveno treba konstatirati da će pristupanjem Unije Europskoj konvenciji Sud EU formalno podlijegati jurisdikciji Europskog suda za ljudska prava. To drugim riječima znači da će postojati direktan put za podnošenje zahtjeva zbog povrede ljudskih prava propisanih Konvencijom, protiv odluka Suda EU.</w:t>
      </w:r>
      <w:r w:rsidR="00242AD7" w:rsidRPr="00242AD7">
        <w:rPr>
          <w:rStyle w:val="FootnoteReference"/>
          <w:rFonts w:ascii="Adobe Garamond Pro" w:hAnsi="Adobe Garamond Pro" w:cs="Times New Roman"/>
          <w:sz w:val="20"/>
          <w:szCs w:val="20"/>
        </w:rPr>
        <w:footnoteReference w:id="42"/>
      </w:r>
      <w:r w:rsidR="00242AD7" w:rsidRPr="00242AD7">
        <w:rPr>
          <w:rFonts w:ascii="Adobe Garamond Pro" w:hAnsi="Adobe Garamond Pro" w:cs="Times New Roman"/>
          <w:sz w:val="20"/>
          <w:szCs w:val="20"/>
        </w:rPr>
        <w:t xml:space="preserve">No treba napomenuti da se Sud EU i </w:t>
      </w:r>
      <w:r w:rsidR="00242AD7" w:rsidRPr="00242AD7">
        <w:rPr>
          <w:rFonts w:ascii="Adobe Garamond Pro" w:hAnsi="Adobe Garamond Pro" w:cs="Times New Roman"/>
          <w:sz w:val="20"/>
          <w:szCs w:val="20"/>
        </w:rPr>
        <w:lastRenderedPageBreak/>
        <w:t>prije ovih reformi, u okviru svog sudovanja oslanjao na Europsku konvenciju, koja je činila temelj općih principa u smislu članka 6 Ugovora o Europskoj uniji u inačici prije Lisabonskog ugovora</w:t>
      </w:r>
      <w:r w:rsidR="00242AD7" w:rsidRPr="00242AD7">
        <w:rPr>
          <w:rStyle w:val="FootnoteReference"/>
          <w:rFonts w:ascii="Adobe Garamond Pro" w:hAnsi="Adobe Garamond Pro" w:cs="Times New Roman"/>
          <w:sz w:val="20"/>
          <w:szCs w:val="20"/>
        </w:rPr>
        <w:footnoteReference w:id="43"/>
      </w:r>
      <w:r w:rsidR="00242AD7" w:rsidRPr="00242AD7">
        <w:rPr>
          <w:rFonts w:ascii="Adobe Garamond Pro" w:hAnsi="Adobe Garamond Pro" w:cs="Times New Roman"/>
          <w:sz w:val="20"/>
          <w:szCs w:val="20"/>
        </w:rPr>
        <w:t>.  To ujedno znači da se spektar temeljnih prava, a time i njihovo poštivanje od strane Suda EU, odnosno mogućnost njegovih povreda kroz odluke ovog suda nije izmijenio značajno u sadržajnom smislu. Veću promjenu u ovom smislu može donijeti činjenica da je Ugovorom iz Lisabona policijska i sudska suradnja u kaznenim stvarima pripojena prvom stupu, što ujedno znači i proširenje nadležnosti Suda EU na ova područja.</w:t>
      </w:r>
      <w:r w:rsidR="00242AD7" w:rsidRPr="00242AD7">
        <w:rPr>
          <w:rStyle w:val="FootnoteReference"/>
          <w:rFonts w:ascii="Adobe Garamond Pro" w:hAnsi="Adobe Garamond Pro" w:cs="Times New Roman"/>
          <w:sz w:val="20"/>
          <w:szCs w:val="20"/>
        </w:rPr>
        <w:footnoteReference w:id="44"/>
      </w:r>
      <w:r w:rsidR="00242AD7" w:rsidRPr="00242AD7">
        <w:rPr>
          <w:rFonts w:ascii="Adobe Garamond Pro" w:hAnsi="Adobe Garamond Pro" w:cs="Times New Roman"/>
          <w:sz w:val="20"/>
          <w:szCs w:val="20"/>
        </w:rPr>
        <w:t xml:space="preserve"> Stoga je, s obzirom na vrstu regulirane materije, u ovom području povećana mogućnost povreda temeljnih prava od strane zakonodavca, ali i kroz izvršna ovlaštenja Europol-a i Eurojust-a. U konačnici će dakle odluke Suda EU o zakonitosti djelovanja ovih organa moći biti ispitivane u pravcu postojanja povreda prava iz Europske konvencije.</w:t>
      </w:r>
      <w:r w:rsidR="00242AD7" w:rsidRPr="00242AD7">
        <w:rPr>
          <w:rStyle w:val="FootnoteReference"/>
          <w:rFonts w:ascii="Adobe Garamond Pro" w:hAnsi="Adobe Garamond Pro" w:cs="Times New Roman"/>
          <w:sz w:val="20"/>
          <w:szCs w:val="20"/>
        </w:rPr>
        <w:footnoteReference w:id="45"/>
      </w:r>
    </w:p>
    <w:p w:rsidR="00EF67A4" w:rsidRPr="00242AD7" w:rsidRDefault="00EF67A4" w:rsidP="00242AD7">
      <w:pPr>
        <w:spacing w:after="0" w:line="240" w:lineRule="auto"/>
        <w:jc w:val="both"/>
        <w:rPr>
          <w:rFonts w:ascii="Adobe Garamond Pro" w:hAnsi="Adobe Garamond Pro" w:cs="Times New Roman"/>
          <w:sz w:val="20"/>
          <w:szCs w:val="20"/>
        </w:rPr>
      </w:pPr>
    </w:p>
    <w:p w:rsid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Kada govorimo o drugoj velikoj promjeni u okviru Lisabonskog ugovora, tj. uvođenju obvezujuće pravne snage Europske povelje o temeljnim pravima, također je moguće zaključiti da će i ona utjecati na odnos sudske prakse Suda EU i Europskog suda za ljudska prava. Posljedice na spomenuti odnos bit će prije svega uzrokovane, razlikom u vrsti prava, reguliranim Europskom konvencijom na jednoj strani i Europskom poveljom s druge strane. Naime, Europska konvencija koncentrira se ponajviše na klasična građanska i politička prava, koja štite građane u odnosu na državu, dok Europska povelja sadrži dodatno i ljudska prava druge generacije</w:t>
      </w:r>
      <w:r w:rsidR="00242AD7" w:rsidRPr="00242AD7">
        <w:rPr>
          <w:rStyle w:val="FootnoteReference"/>
          <w:rFonts w:ascii="Adobe Garamond Pro" w:hAnsi="Adobe Garamond Pro" w:cs="Times New Roman"/>
          <w:sz w:val="20"/>
          <w:szCs w:val="20"/>
        </w:rPr>
        <w:footnoteReference w:id="46"/>
      </w:r>
      <w:r w:rsidR="00242AD7" w:rsidRPr="00242AD7">
        <w:rPr>
          <w:rFonts w:ascii="Adobe Garamond Pro" w:hAnsi="Adobe Garamond Pro" w:cs="Times New Roman"/>
          <w:sz w:val="20"/>
          <w:szCs w:val="20"/>
        </w:rPr>
        <w:t>. Ova razlika odnosi se osobito na već opisana ekonomska i socijalna prava i garancije pod naslovom „Solidarnost“ u Europskoj povelji. U ovom smislu postupno će se sudska praksa Suda EU morati odmicati u sudske prakse Europskog suda za ljudska prava. To prvenstveno važi za konstelacije u kojima se Sud EU zbog specifičnosti navedenih prava neće moći oslanjati na praksu Europskog suda te će sam tumačiti prava regulirana Poveljom.</w:t>
      </w:r>
      <w:r w:rsidR="00242AD7" w:rsidRPr="00242AD7">
        <w:rPr>
          <w:rStyle w:val="FootnoteReference"/>
          <w:rFonts w:ascii="Adobe Garamond Pro" w:hAnsi="Adobe Garamond Pro" w:cs="Times New Roman"/>
          <w:sz w:val="20"/>
          <w:szCs w:val="20"/>
        </w:rPr>
        <w:footnoteReference w:id="47"/>
      </w:r>
    </w:p>
    <w:p w:rsidR="00EF67A4" w:rsidRPr="00242AD7" w:rsidRDefault="00EF67A4" w:rsidP="00242AD7">
      <w:pPr>
        <w:spacing w:after="0" w:line="240" w:lineRule="auto"/>
        <w:jc w:val="both"/>
        <w:rPr>
          <w:rFonts w:ascii="Adobe Garamond Pro" w:hAnsi="Adobe Garamond Pro" w:cs="Times New Roman"/>
          <w:sz w:val="20"/>
          <w:szCs w:val="20"/>
        </w:rPr>
      </w:pPr>
    </w:p>
    <w:p w:rsidR="00242AD7" w:rsidRDefault="00EF67A4" w:rsidP="00242AD7">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Uz gore navedene promjene u odnosu Suda EU i Europskog suda za ljudska prava, Lisabonski ugovor donio je novosti i u odnosu Suda EU i sudova država članica. Prema članku 19 Ugovora o EU u inačici Ugovora iz Lisabona, naglašena je obveza država članica  da osiguraju pravne lijekove dostatne za osiguranje učinkovite pravne zaštite u područjima obuhvaćenim pravom Unije.</w:t>
      </w:r>
      <w:r w:rsidR="00242AD7" w:rsidRPr="00242AD7">
        <w:rPr>
          <w:rStyle w:val="FootnoteReference"/>
          <w:rFonts w:ascii="Adobe Garamond Pro" w:hAnsi="Adobe Garamond Pro" w:cs="Times New Roman"/>
          <w:sz w:val="20"/>
          <w:szCs w:val="20"/>
        </w:rPr>
        <w:footnoteReference w:id="48"/>
      </w:r>
      <w:r w:rsidR="00242AD7" w:rsidRPr="00242AD7">
        <w:rPr>
          <w:rFonts w:ascii="Adobe Garamond Pro" w:hAnsi="Adobe Garamond Pro" w:cs="Times New Roman"/>
          <w:sz w:val="20"/>
          <w:szCs w:val="20"/>
        </w:rPr>
        <w:t xml:space="preserve"> Ova odredba sadrži dakle zahtjev za sudove i ostale institucije zemalja članica za osiguranjem učinkovite provedbe prava Unije. No što se tiče djelovanja </w:t>
      </w:r>
      <w:r w:rsidR="00242AD7" w:rsidRPr="00242AD7">
        <w:rPr>
          <w:rFonts w:ascii="Adobe Garamond Pro" w:hAnsi="Adobe Garamond Pro" w:cs="Times New Roman"/>
          <w:sz w:val="20"/>
          <w:szCs w:val="20"/>
        </w:rPr>
        <w:lastRenderedPageBreak/>
        <w:t>institucija država članica i u neizravnoj provedbi prava Unije, treba naglasiti da ono prvenstveno podliježe kontroli državnih sudova. Također, ukoliko se pri tome radi o mogućoj povredi temeljnih prava, sudovi država članica prvenstveno se pozivaju na temeljna prava svojih sustava, pri čemu temeljna prava na razini Unije ostaju u drugom planu.</w:t>
      </w:r>
      <w:r w:rsidR="00242AD7" w:rsidRPr="00242AD7">
        <w:rPr>
          <w:rStyle w:val="FootnoteReference"/>
          <w:rFonts w:ascii="Adobe Garamond Pro" w:hAnsi="Adobe Garamond Pro" w:cs="Times New Roman"/>
          <w:sz w:val="20"/>
          <w:szCs w:val="20"/>
        </w:rPr>
        <w:footnoteReference w:id="49"/>
      </w:r>
      <w:r w:rsidR="00242AD7" w:rsidRPr="00242AD7">
        <w:rPr>
          <w:rFonts w:ascii="Adobe Garamond Pro" w:hAnsi="Adobe Garamond Pro" w:cs="Times New Roman"/>
          <w:sz w:val="20"/>
          <w:szCs w:val="20"/>
        </w:rPr>
        <w:t xml:space="preserve"> Sud EU pozvan je da djeluje u zaštiti temeljnih prava u onim slučajevima, kada ista kontrola nad aktima Unije nije osigurana od strane državnih sudova. Pri tome se prvenstveno misli na akte Unije u užem smislu riječi, kada pravna zaštita od strane država članica nije dana, jer državne institucije nisu djelovale u odnosu na pojedinca. U takvom slučaju, pravni sustav EU mora pružiti adekvatnu sudsku zaštitu.</w:t>
      </w:r>
      <w:r w:rsidR="00242AD7" w:rsidRPr="00242AD7">
        <w:rPr>
          <w:rStyle w:val="FootnoteReference"/>
          <w:rFonts w:ascii="Adobe Garamond Pro" w:hAnsi="Adobe Garamond Pro" w:cs="Times New Roman"/>
          <w:sz w:val="20"/>
          <w:szCs w:val="20"/>
        </w:rPr>
        <w:footnoteReference w:id="50"/>
      </w:r>
      <w:r w:rsidR="00242AD7" w:rsidRPr="00242AD7">
        <w:rPr>
          <w:rFonts w:ascii="Adobe Garamond Pro" w:hAnsi="Adobe Garamond Pro" w:cs="Times New Roman"/>
          <w:sz w:val="20"/>
          <w:szCs w:val="20"/>
        </w:rPr>
        <w:t xml:space="preserve"> Lisabonski ugovor donio je u ovom području značajnu izmjenu, tako što je proširio mogućnost podnošenja tužbi Sudu EU od strane pojedinaca. Prema prijašnjoj situaciji, svaka fizička ili pravna osoba, mogla je podnijeti tužbu  protiv akta samo ukoliko se izravno i osobno odnosi na nju. Prema tzv. „Plaumann formuli“</w:t>
      </w:r>
      <w:r w:rsidR="00242AD7" w:rsidRPr="00242AD7">
        <w:rPr>
          <w:rStyle w:val="FootnoteReference"/>
          <w:rFonts w:ascii="Adobe Garamond Pro" w:hAnsi="Adobe Garamond Pro" w:cs="Times New Roman"/>
          <w:sz w:val="20"/>
          <w:szCs w:val="20"/>
        </w:rPr>
        <w:footnoteReference w:id="51"/>
      </w:r>
      <w:r w:rsidR="00242AD7" w:rsidRPr="00242AD7">
        <w:rPr>
          <w:rFonts w:ascii="Adobe Garamond Pro" w:hAnsi="Adobe Garamond Pro" w:cs="Times New Roman"/>
          <w:sz w:val="20"/>
          <w:szCs w:val="20"/>
        </w:rPr>
        <w:t xml:space="preserve"> razvijenoj od Suda EU, akt se odnosi osobno na tužitelja, kada ga relevantni akt, zbog posebnih okolnosti, koje ga razlikuju od svih drugih osoba, individualizira slično kao i adresate određene odluke. Prema članku 263 Ugovora o funkcioniranju Europske unije u inačici iz Lisabona, svaka fizička ili pravna osoba može pokrenuti postupke protiv akta koji je upućen toj osobi ili koji se izravno i osobno odnosi na nju, ali i protiv regulatornog akta koji se samo  izravno, ali ne i osobno odnosi na nju, a ne podrazumijeva provedbene mjere. Prema određenim tumačenjima nova inačica odredbe je primjenjiva na sve normativne akte, koji ne podrazumijevaju provedbene mjere. Ovo se ubuduće također bez sumnje odnosi i na akte agencija EU i ostalih institucija Unije.</w:t>
      </w:r>
      <w:r w:rsidR="00242AD7" w:rsidRPr="00242AD7">
        <w:rPr>
          <w:rStyle w:val="FootnoteReference"/>
          <w:rFonts w:ascii="Adobe Garamond Pro" w:hAnsi="Adobe Garamond Pro" w:cs="Times New Roman"/>
          <w:sz w:val="20"/>
          <w:szCs w:val="20"/>
        </w:rPr>
        <w:footnoteReference w:id="52"/>
      </w:r>
      <w:r w:rsidR="00242AD7" w:rsidRPr="00242AD7">
        <w:rPr>
          <w:rFonts w:ascii="Adobe Garamond Pro" w:hAnsi="Adobe Garamond Pro" w:cs="Times New Roman"/>
          <w:sz w:val="20"/>
          <w:szCs w:val="20"/>
        </w:rPr>
        <w:t xml:space="preserve"> Također, u prilog proširenju mogućnosti za podizanje tužbi pred Sudom EU, govori i već spomenuto pripajanje policijske i sudske suradnje u kaznenim stvarima prvom stupu, a ujedno i europskoj sudskoj nadležnosti. </w:t>
      </w:r>
    </w:p>
    <w:p w:rsidR="00EF67A4" w:rsidRPr="00242AD7" w:rsidRDefault="00EF67A4" w:rsidP="00242AD7">
      <w:pPr>
        <w:spacing w:after="0" w:line="240" w:lineRule="auto"/>
        <w:jc w:val="both"/>
        <w:rPr>
          <w:rFonts w:ascii="Adobe Garamond Pro" w:hAnsi="Adobe Garamond Pro" w:cs="Times New Roman"/>
          <w:sz w:val="20"/>
          <w:szCs w:val="20"/>
        </w:rPr>
      </w:pPr>
    </w:p>
    <w:p w:rsidR="00242AD7" w:rsidRPr="00EF67A4" w:rsidRDefault="00EF67A4" w:rsidP="00EF67A4">
      <w:pPr>
        <w:pStyle w:val="ListParagraph"/>
        <w:spacing w:after="0" w:line="240" w:lineRule="auto"/>
        <w:ind w:left="0"/>
        <w:jc w:val="both"/>
        <w:rPr>
          <w:rFonts w:ascii="Adobe Garamond Pro" w:hAnsi="Adobe Garamond Pro" w:cs="Times New Roman"/>
          <w:b/>
        </w:rPr>
      </w:pPr>
      <w:r w:rsidRPr="00EF67A4">
        <w:rPr>
          <w:rFonts w:ascii="Adobe Garamond Pro" w:hAnsi="Adobe Garamond Pro" w:cs="Times New Roman"/>
          <w:b/>
        </w:rPr>
        <w:t xml:space="preserve">ZAKLJUČAK </w:t>
      </w:r>
    </w:p>
    <w:p w:rsidR="00EF67A4" w:rsidRPr="00242AD7" w:rsidRDefault="00EF67A4" w:rsidP="00EF67A4">
      <w:pPr>
        <w:pStyle w:val="ListParagraph"/>
        <w:spacing w:after="0" w:line="240" w:lineRule="auto"/>
        <w:jc w:val="both"/>
        <w:rPr>
          <w:rFonts w:ascii="Adobe Garamond Pro" w:hAnsi="Adobe Garamond Pro" w:cs="Times New Roman"/>
          <w:b/>
          <w:sz w:val="20"/>
          <w:szCs w:val="20"/>
        </w:rPr>
      </w:pPr>
    </w:p>
    <w:p w:rsidR="00242AD7" w:rsidRPr="00242AD7" w:rsidRDefault="00EF67A4" w:rsidP="00EF67A4">
      <w:pPr>
        <w:spacing w:after="0" w:line="240" w:lineRule="auto"/>
        <w:jc w:val="both"/>
        <w:rPr>
          <w:rFonts w:ascii="Adobe Garamond Pro" w:hAnsi="Adobe Garamond Pro" w:cs="Times New Roman"/>
          <w:sz w:val="20"/>
          <w:szCs w:val="20"/>
          <w:lang w:val="en-US"/>
        </w:rPr>
      </w:pPr>
      <w:r>
        <w:rPr>
          <w:rFonts w:ascii="Adobe Garamond Pro" w:hAnsi="Adobe Garamond Pro" w:cs="Times New Roman"/>
          <w:sz w:val="20"/>
          <w:szCs w:val="20"/>
        </w:rPr>
        <w:tab/>
      </w:r>
      <w:r w:rsidR="00242AD7" w:rsidRPr="00242AD7">
        <w:rPr>
          <w:rFonts w:ascii="Adobe Garamond Pro" w:hAnsi="Adobe Garamond Pro" w:cs="Times New Roman"/>
          <w:sz w:val="20"/>
          <w:szCs w:val="20"/>
        </w:rPr>
        <w:t xml:space="preserve">Nakon predstavljanja pojedinačnih promjena, koje je donio Ugovor iz Lisabona o izmjenama i dopunama Ugovora o Europskoj uniji i Ugovora o osnivanju Europske zajednice, može se zaključiti da sustav zaštite temeljnih prava u Europskoj uniji prema tome postoji na tri različite razine. Prvenstveno je značajnu promjenu, u formalnom smislu donijela obvezujuća pravna snaga Europske povelje o temeljnim pravima, koja tako postaje dio primarnog prava EU, nalazeći se na istom rangu s ugovorima.  Nadalje će i Europska konvencija o ljudskim pravima i temeljnim slobodama, kao međunarodni ugovor, biti integrirana u pravni poredak Unije. No, što se tiče razine u okviru pravnog poretka Unije, važno je konstatirati da će se Konvencija nalaziti između primarnog i sekundarnog prava </w:t>
      </w:r>
      <w:r w:rsidR="00242AD7" w:rsidRPr="00242AD7">
        <w:rPr>
          <w:rFonts w:ascii="Adobe Garamond Pro" w:hAnsi="Adobe Garamond Pro" w:cs="Times New Roman"/>
          <w:sz w:val="20"/>
          <w:szCs w:val="20"/>
        </w:rPr>
        <w:lastRenderedPageBreak/>
        <w:t>EU.</w:t>
      </w:r>
      <w:r w:rsidR="00242AD7" w:rsidRPr="00242AD7">
        <w:rPr>
          <w:rStyle w:val="FootnoteReference"/>
          <w:rFonts w:ascii="Adobe Garamond Pro" w:hAnsi="Adobe Garamond Pro" w:cs="Times New Roman"/>
          <w:sz w:val="20"/>
          <w:szCs w:val="20"/>
        </w:rPr>
        <w:footnoteReference w:id="53"/>
      </w:r>
      <w:r w:rsidR="00242AD7" w:rsidRPr="00242AD7">
        <w:rPr>
          <w:rFonts w:ascii="Adobe Garamond Pro" w:hAnsi="Adobe Garamond Pro"/>
          <w:sz w:val="20"/>
          <w:szCs w:val="20"/>
        </w:rPr>
        <w:t xml:space="preserve">  </w:t>
      </w:r>
      <w:r w:rsidR="00242AD7" w:rsidRPr="00242AD7">
        <w:rPr>
          <w:rFonts w:ascii="Adobe Garamond Pro" w:hAnsi="Adobe Garamond Pro" w:cs="Times New Roman"/>
          <w:sz w:val="20"/>
          <w:szCs w:val="20"/>
        </w:rPr>
        <w:t xml:space="preserve">To ujedno znači da će u normativno-hijerarhijskom smislu biti ispod Povelje, ali u prednosti pred cjelokupnim sekundarnim pravom Unije. U odnosu na pravnu zaštitu, pristupanjem Unije Konvenciji otvara se put za kontrolu odluka Suda EU od strane Europskog suda za ljudska prava. Područje koje može između ostalog biti u budućnosti predmet ovih procesa jeste suradnja u policijskim i sudskim kaznenim stvarima, jer je isto kroz Ugovor iz Lisabona stavljeno pod nadležnost Suda EU, a ujedno znači i Europskog suda za ljudska prava. Potreba ove kontrole ipak u praksi ne bi trebala biti velika, jer se Sud EU i do sada u svojim odlukama pozivao i oslanjao na Europsku konvenciju. Moguće razlike u sudskoj praksi između dva navedena suda, mogla bi se pojaviti zbog gore opisane razlike u vrsti prava reguliranih Poveljom i Konvencijom, misleći prije svega na gospodarska i socijalna prava Povelje. U ovom smislu bit će potrebna težnja obaju sudova da kroz suradnju i obostrano uvažavanje, pokušaju uskladiti prakse što je više moguće. Ugovorom iz Lisabona i za sudove država članica naglašava izričitu obvezu za osiguranjem učinkovite provedbe prava Unije. Kako je gore opisano, za kontrolu poštivanja temeljnih prava, mogu biti nadležni i državni sudovi, ali i Sud EU, ovisno o pojedinačnom slučaju. I u ovim konstelacijama, svakako je preporučeno produbljivati dobru suradnju između sudova, u cilju sprječavanja konflikata o nadležnosti. Treći dio sustava temeljnih prava činit će kao i prije Lisabonskog ugovora, temeljna prava u smislu općih principa, koja proizlaze iz zajedničkih ustavnih tradicija država članica i Europske konvencije. Kada se govori o sadržaju pojedinih temeljnih prava na sve tri spomenute razine, zaključuje se da Lisabonskim ugovorom nije došlo do značajnih promjena u ovom smislu. Naime, većine prava garantirana Poveljom, razvijena su postupno kroz sudsku praksu Suda EU i važila kao opći principi u smislu članka 6. Važnost Povelje sastoji se više u objedinjavanju već postojećih prava u jedinstven pisani katalog. Dodatno obvezujućom pravnom snagom, dat je doprinos sigurnosti građana Unije i legitimaciji djelovanja Unije. Europska unije je na ovaj način potvrdila svoju obvezu zaštite temeljnih prava građana i zajedničke vrijednosti sa svim državama članicama. Pristupanjem Unije Europskoj konvenciji potvrđena je formalno obveza poštivanja prava Konvencije, no koja je i prije, kako je poznato činila temelj važećih općih principa. Stoga je Lisabonski ugovor dao prvenstveno doprinos jasnijem definiranju nekoliko već postojećih razina temeljnih prava u Europskoj uniji te pojačao obvezu njihove zaštite u formalnom smislu. </w:t>
      </w:r>
    </w:p>
    <w:p w:rsidR="00242AD7" w:rsidRPr="00242AD7" w:rsidRDefault="00242AD7" w:rsidP="00242AD7">
      <w:pPr>
        <w:spacing w:after="0" w:line="240" w:lineRule="auto"/>
        <w:rPr>
          <w:rFonts w:ascii="Adobe Garamond Pro" w:hAnsi="Adobe Garamond Pro"/>
          <w:sz w:val="20"/>
          <w:szCs w:val="20"/>
        </w:rPr>
      </w:pPr>
    </w:p>
    <w:p w:rsidR="00242AD7" w:rsidRPr="00242AD7" w:rsidRDefault="00242AD7" w:rsidP="00242AD7">
      <w:pPr>
        <w:spacing w:after="0" w:line="240" w:lineRule="auto"/>
        <w:rPr>
          <w:rFonts w:ascii="Adobe Garamond Pro" w:hAnsi="Adobe Garamond Pro" w:cs="Times New Roman"/>
          <w:b/>
          <w:sz w:val="20"/>
          <w:szCs w:val="20"/>
        </w:rPr>
      </w:pPr>
    </w:p>
    <w:p w:rsidR="00242AD7" w:rsidRPr="00242AD7" w:rsidRDefault="00242AD7" w:rsidP="00242AD7">
      <w:pPr>
        <w:spacing w:after="0" w:line="240" w:lineRule="auto"/>
        <w:rPr>
          <w:rFonts w:ascii="Adobe Garamond Pro" w:hAnsi="Adobe Garamond Pro" w:cs="Times New Roman"/>
          <w:b/>
          <w:sz w:val="20"/>
          <w:szCs w:val="20"/>
        </w:rPr>
      </w:pPr>
    </w:p>
    <w:p w:rsidR="00242AD7" w:rsidRPr="00242AD7" w:rsidRDefault="00242AD7" w:rsidP="00242AD7">
      <w:pPr>
        <w:spacing w:after="0" w:line="240" w:lineRule="auto"/>
        <w:rPr>
          <w:rFonts w:ascii="Adobe Garamond Pro" w:hAnsi="Adobe Garamond Pro" w:cs="Times New Roman"/>
          <w:b/>
          <w:sz w:val="20"/>
          <w:szCs w:val="20"/>
        </w:rPr>
      </w:pPr>
    </w:p>
    <w:p w:rsidR="00242AD7" w:rsidRPr="00242AD7" w:rsidRDefault="00242AD7" w:rsidP="00242AD7">
      <w:pPr>
        <w:spacing w:after="0" w:line="240" w:lineRule="auto"/>
        <w:rPr>
          <w:rFonts w:ascii="Adobe Garamond Pro" w:hAnsi="Adobe Garamond Pro" w:cs="Times New Roman"/>
          <w:b/>
          <w:sz w:val="20"/>
          <w:szCs w:val="20"/>
        </w:rPr>
      </w:pPr>
    </w:p>
    <w:p w:rsidR="00242AD7" w:rsidRPr="00242AD7" w:rsidRDefault="00242AD7" w:rsidP="00242AD7">
      <w:pPr>
        <w:spacing w:after="0" w:line="240" w:lineRule="auto"/>
        <w:rPr>
          <w:rFonts w:ascii="Adobe Garamond Pro" w:hAnsi="Adobe Garamond Pro" w:cs="Times New Roman"/>
          <w:b/>
          <w:sz w:val="20"/>
          <w:szCs w:val="20"/>
        </w:rPr>
      </w:pPr>
    </w:p>
    <w:p w:rsidR="00242AD7" w:rsidRPr="00242AD7" w:rsidRDefault="00242AD7" w:rsidP="00242AD7">
      <w:pPr>
        <w:spacing w:after="0" w:line="240" w:lineRule="auto"/>
        <w:rPr>
          <w:rFonts w:ascii="Adobe Garamond Pro" w:hAnsi="Adobe Garamond Pro" w:cs="Times New Roman"/>
          <w:b/>
          <w:sz w:val="20"/>
          <w:szCs w:val="20"/>
        </w:rPr>
      </w:pPr>
    </w:p>
    <w:p w:rsidR="00242AD7" w:rsidRPr="00242AD7" w:rsidRDefault="00242AD7" w:rsidP="00242AD7">
      <w:pPr>
        <w:spacing w:after="0" w:line="240" w:lineRule="auto"/>
        <w:rPr>
          <w:rFonts w:ascii="Adobe Garamond Pro" w:hAnsi="Adobe Garamond Pro" w:cs="Times New Roman"/>
          <w:b/>
          <w:sz w:val="20"/>
          <w:szCs w:val="20"/>
        </w:rPr>
      </w:pPr>
    </w:p>
    <w:p w:rsidR="00242AD7" w:rsidRPr="00242AD7" w:rsidRDefault="00242AD7" w:rsidP="00242AD7">
      <w:pPr>
        <w:spacing w:after="0" w:line="240" w:lineRule="auto"/>
        <w:rPr>
          <w:rFonts w:ascii="Adobe Garamond Pro" w:hAnsi="Adobe Garamond Pro" w:cs="Times New Roman"/>
          <w:b/>
          <w:sz w:val="20"/>
          <w:szCs w:val="20"/>
        </w:rPr>
      </w:pPr>
    </w:p>
    <w:p w:rsidR="00242AD7" w:rsidRPr="00242AD7" w:rsidRDefault="00242AD7" w:rsidP="00242AD7">
      <w:pPr>
        <w:spacing w:after="0" w:line="240" w:lineRule="auto"/>
        <w:rPr>
          <w:rFonts w:ascii="Adobe Garamond Pro" w:hAnsi="Adobe Garamond Pro" w:cs="Times New Roman"/>
          <w:b/>
          <w:sz w:val="20"/>
          <w:szCs w:val="20"/>
        </w:rPr>
      </w:pPr>
    </w:p>
    <w:p w:rsidR="00242AD7" w:rsidRPr="00EF67A4" w:rsidRDefault="00EF67A4" w:rsidP="00242AD7">
      <w:pPr>
        <w:spacing w:after="0" w:line="240" w:lineRule="auto"/>
        <w:rPr>
          <w:rFonts w:ascii="Adobe Garamond Pro" w:hAnsi="Adobe Garamond Pro" w:cs="Times New Roman"/>
          <w:b/>
        </w:rPr>
      </w:pPr>
      <w:r w:rsidRPr="00EF67A4">
        <w:rPr>
          <w:rFonts w:ascii="Adobe Garamond Pro" w:hAnsi="Adobe Garamond Pro" w:cs="Times New Roman"/>
          <w:b/>
        </w:rPr>
        <w:lastRenderedPageBreak/>
        <w:t>LITERATURA</w:t>
      </w:r>
    </w:p>
    <w:p w:rsidR="00EF67A4" w:rsidRPr="00242AD7" w:rsidRDefault="00EF67A4" w:rsidP="00242AD7">
      <w:pPr>
        <w:spacing w:after="0" w:line="240" w:lineRule="auto"/>
        <w:rPr>
          <w:rFonts w:ascii="Adobe Garamond Pro" w:hAnsi="Adobe Garamond Pro" w:cs="Times New Roman"/>
          <w:b/>
          <w:sz w:val="20"/>
          <w:szCs w:val="20"/>
        </w:rPr>
      </w:pPr>
    </w:p>
    <w:p w:rsidR="00242AD7" w:rsidRPr="00EF67A4" w:rsidRDefault="00242AD7" w:rsidP="00EF67A4">
      <w:pPr>
        <w:pStyle w:val="ListParagraph"/>
        <w:numPr>
          <w:ilvl w:val="0"/>
          <w:numId w:val="36"/>
        </w:numPr>
        <w:spacing w:after="0" w:line="240" w:lineRule="auto"/>
        <w:ind w:left="284" w:hanging="284"/>
        <w:rPr>
          <w:rFonts w:ascii="Adobe Garamond Pro" w:hAnsi="Adobe Garamond Pro" w:cs="Times New Roman"/>
          <w:sz w:val="20"/>
          <w:szCs w:val="20"/>
        </w:rPr>
      </w:pPr>
      <w:r w:rsidRPr="00EF67A4">
        <w:rPr>
          <w:rFonts w:ascii="Adobe Garamond Pro" w:hAnsi="Adobe Garamond Pro" w:cs="Times New Roman"/>
          <w:sz w:val="20"/>
          <w:szCs w:val="20"/>
          <w:lang w:val="de-AT"/>
        </w:rPr>
        <w:t>ALBER, Siegbert, Die Grund- und Menschenrechte in der Europäischen Union, 2007</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CALLIESIS, Christian, in EHLERS, Dirk (Hrsg.), Europäische Grundrechte und Grundfreiheiten, 2005</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CRNIĆ-GROTIĆ, Vesna / SGARDELLI CAR Nataša, Ljudska prava u Europskoj uniji u praksi Europskog suda u Luksemburgu, Zbornik pravnog fakulteta u Zagrebu, 60, (5), 971-994 (2010),</w:t>
      </w:r>
    </w:p>
    <w:p w:rsidR="00242AD7" w:rsidRPr="00242AD7" w:rsidRDefault="00242AD7" w:rsidP="00EF67A4">
      <w:pPr>
        <w:pStyle w:val="FootnoteText"/>
        <w:numPr>
          <w:ilvl w:val="0"/>
          <w:numId w:val="36"/>
        </w:numPr>
        <w:ind w:left="284" w:hanging="284"/>
        <w:jc w:val="both"/>
        <w:rPr>
          <w:rFonts w:ascii="Adobe Garamond Pro" w:hAnsi="Adobe Garamond Pro"/>
        </w:rPr>
      </w:pPr>
      <w:r w:rsidRPr="00242AD7">
        <w:rPr>
          <w:rFonts w:ascii="Adobe Garamond Pro" w:hAnsi="Adobe Garamond Pro"/>
        </w:rPr>
        <w:t>GRABENWARTER, Christoph, Europäische Menschenrechtskonvention, 3. Auflage, 2008</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GRABENWARTER, Christoph in BUSEK, Erhard / HUMMER, Waldemar (Hrsg.), Der Europäische Konvent und sein Ergebnis – eine Europäische Verfassung, Ausgewählten Rechtsfragen samt Dokumentation, 2004</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MAYER, Franz, C., Der Vertrag von Lissabon und die Grundrechte,  Hrsg. SCHWARZE, Jürgen / HATJE, Armin, Europarecht (EuR) Beiheft 1, Der Reformvertrag von Lissabon, 2009</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OETER, Stefan, Das Verhaeltnis zwischen EuGH, EGMR und nationalen Verfassungsgerichten, Der Lissabonner Reformvertrag, Aenderungsimpulse in einzelnen Rechts- und Politikbereichen, Hrsg. FASTENRATH Urlich / NOWAK, Carsten, 2009</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PACHE, Eckhard, Die Rolle der EMRK und Grundrechte-Charta in der EU, Der Lissaboner Reformvertrag, Aenderungsimpulse in einzelnen Rechts- und Politikbereichen, Hrsg: FASTENRATH Urlich / NOWAK, Carsten, 2009</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PACHE, Eckhard, Die Europäische Grundrechtscharta – ein Rückschritt für den Grundrechtschutz in Europa, EuR, 2001</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PERNICE, Ingolf, Der Vertrag von Lissabon – Ende der Verfassungsprozesses der EU?, EuZW 2008</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POPOVIĆ, Nela, Politika ljudskih prava Europske Unije: razvoji i izazovi za budućnost, Politička misao, Vol. XLV, br. 3-4, 2008</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 xml:space="preserve">STREINZ, Rudolf/ OHLER, Christoph/ HERRMAN, Christoph, Der Vertrag von Lissabon zur Reform der EU – Einführung mit Synopse, 2. Aufl. 2008 </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TERCHECHTE, Philip Jörg, Konstitutionalisierung und Normativität der europäischen Grundrechte, 2011</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WEIDENFELD Werner, Lissabon in der Analyse, Der Reformvertrag der Europäischen Union, 2008</w:t>
      </w:r>
    </w:p>
    <w:p w:rsidR="00242AD7" w:rsidRPr="00EF67A4" w:rsidRDefault="00242AD7" w:rsidP="00EF67A4">
      <w:pPr>
        <w:pStyle w:val="FootnoteText"/>
        <w:numPr>
          <w:ilvl w:val="0"/>
          <w:numId w:val="36"/>
        </w:numPr>
        <w:ind w:left="284" w:hanging="284"/>
        <w:jc w:val="both"/>
        <w:rPr>
          <w:rFonts w:ascii="Adobe Garamond Pro" w:hAnsi="Adobe Garamond Pro"/>
        </w:rPr>
      </w:pPr>
      <w:r w:rsidRPr="00EF67A4">
        <w:rPr>
          <w:rFonts w:ascii="Adobe Garamond Pro" w:hAnsi="Adobe Garamond Pro"/>
        </w:rPr>
        <w:t xml:space="preserve">Draft revised agreement on the accession of the European Union to the Convention for the Protection of Human Rights and Fundamental Freedoms, dostupno na: </w:t>
      </w:r>
      <w:hyperlink r:id="rId8" w:history="1">
        <w:r w:rsidRPr="00EF67A4">
          <w:rPr>
            <w:rStyle w:val="Hyperlink"/>
            <w:rFonts w:ascii="Adobe Garamond Pro" w:hAnsi="Adobe Garamond Pro"/>
            <w:color w:val="auto"/>
            <w:u w:val="none"/>
          </w:rPr>
          <w:t>http://www.coe.int/t/dghl/standardsetting/hrpolicy/Accession/Meeting_reports/47_1%282013%29008rev2_EN.pdf</w:t>
        </w:r>
      </w:hyperlink>
      <w:r w:rsidRPr="00EF67A4">
        <w:rPr>
          <w:rFonts w:ascii="Adobe Garamond Pro" w:hAnsi="Adobe Garamond Pro"/>
        </w:rPr>
        <w:t xml:space="preserve"> </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EuGH, Rs. C-29/69, Slg.1969, 419, Stauder gegen Ulm-Sozialamt</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EuGH Rs. C-11/70 - Internationale Handelsgesellschaft mbH / Einfuhr- und Vorratsstelle für Getreide und Futtermittel</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lastRenderedPageBreak/>
        <w:t>EuGH Rs. Nold. C-4/73 –J.Nold – Kohlen- und Baustoffgrosshandlung gegen Ruhrkohle Aktiengesellschaft</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EuGH, Rs. 25/62, 15. 07.1963.  Plaumann &amp; Co. gegen Kommission der Europaeischen Gemeinschaften</w:t>
      </w:r>
    </w:p>
    <w:p w:rsidR="00242AD7" w:rsidRPr="00EF67A4" w:rsidRDefault="00242AD7" w:rsidP="00EF67A4">
      <w:pPr>
        <w:pStyle w:val="ListParagraph"/>
        <w:numPr>
          <w:ilvl w:val="0"/>
          <w:numId w:val="36"/>
        </w:numPr>
        <w:spacing w:after="0" w:line="240" w:lineRule="auto"/>
        <w:ind w:left="284" w:hanging="284"/>
        <w:rPr>
          <w:rFonts w:ascii="Adobe Garamond Pro" w:hAnsi="Adobe Garamond Pro" w:cs="Times New Roman"/>
          <w:sz w:val="20"/>
          <w:szCs w:val="20"/>
        </w:rPr>
      </w:pPr>
      <w:r w:rsidRPr="00EF67A4">
        <w:rPr>
          <w:rFonts w:ascii="Adobe Garamond Pro" w:hAnsi="Adobe Garamond Pro" w:cs="Times New Roman"/>
          <w:sz w:val="20"/>
          <w:szCs w:val="20"/>
        </w:rPr>
        <w:t xml:space="preserve">Europska konvencija o ljudskim pravima i temeljnim slobodama, dostupno na: </w:t>
      </w:r>
      <w:hyperlink r:id="rId9" w:history="1">
        <w:r w:rsidRPr="00EF67A4">
          <w:rPr>
            <w:rStyle w:val="Hyperlink"/>
            <w:rFonts w:ascii="Adobe Garamond Pro" w:hAnsi="Adobe Garamond Pro" w:cs="Times New Roman"/>
            <w:color w:val="auto"/>
            <w:sz w:val="20"/>
            <w:szCs w:val="20"/>
            <w:u w:val="none"/>
          </w:rPr>
          <w:t>http://www.echr.coe.int/Documents/Convention_DEU.pdf</w:t>
        </w:r>
      </w:hyperlink>
    </w:p>
    <w:p w:rsidR="00242AD7" w:rsidRPr="00242AD7" w:rsidRDefault="00242AD7" w:rsidP="00EF67A4">
      <w:pPr>
        <w:pStyle w:val="FootnoteText"/>
        <w:numPr>
          <w:ilvl w:val="0"/>
          <w:numId w:val="36"/>
        </w:numPr>
        <w:ind w:left="284" w:hanging="284"/>
        <w:rPr>
          <w:rStyle w:val="Hyperlink"/>
          <w:rFonts w:ascii="Adobe Garamond Pro" w:hAnsi="Adobe Garamond Pro"/>
          <w:color w:val="auto"/>
          <w:u w:val="none"/>
        </w:rPr>
      </w:pPr>
      <w:r w:rsidRPr="00242AD7">
        <w:rPr>
          <w:rFonts w:ascii="Adobe Garamond Pro" w:hAnsi="Adobe Garamond Pro"/>
        </w:rPr>
        <w:t xml:space="preserve">Europska socijala povelja, dostupno na: </w:t>
      </w:r>
      <w:hyperlink r:id="rId10" w:history="1">
        <w:r w:rsidRPr="00EF67A4">
          <w:rPr>
            <w:rStyle w:val="Hyperlink"/>
            <w:rFonts w:ascii="Adobe Garamond Pro" w:hAnsi="Adobe Garamond Pro"/>
            <w:color w:val="auto"/>
            <w:sz w:val="18"/>
            <w:szCs w:val="18"/>
            <w:u w:val="none"/>
          </w:rPr>
          <w:t>http://www.coe.int/t/dghl/monitoring/socialcharter/presentation/escrbooklet/Croatian.pdf</w:t>
        </w:r>
      </w:hyperlink>
    </w:p>
    <w:p w:rsidR="00242AD7" w:rsidRPr="00EF67A4" w:rsidRDefault="00242AD7" w:rsidP="00EF67A4">
      <w:pPr>
        <w:pStyle w:val="ListParagraph"/>
        <w:numPr>
          <w:ilvl w:val="0"/>
          <w:numId w:val="36"/>
        </w:numPr>
        <w:spacing w:after="0" w:line="240" w:lineRule="auto"/>
        <w:ind w:left="284" w:hanging="284"/>
        <w:rPr>
          <w:rFonts w:ascii="Adobe Garamond Pro" w:hAnsi="Adobe Garamond Pro" w:cs="Times New Roman"/>
          <w:sz w:val="20"/>
          <w:szCs w:val="20"/>
        </w:rPr>
      </w:pPr>
      <w:r w:rsidRPr="00EF67A4">
        <w:rPr>
          <w:rFonts w:ascii="Adobe Garamond Pro" w:hAnsi="Adobe Garamond Pro" w:cs="Times New Roman"/>
          <w:sz w:val="20"/>
          <w:szCs w:val="20"/>
        </w:rPr>
        <w:t xml:space="preserve">Europska povelja o osnovnim socijnim pravima radnika, dostupno na : </w:t>
      </w:r>
      <w:hyperlink r:id="rId11" w:history="1">
        <w:r w:rsidRPr="00EF67A4">
          <w:rPr>
            <w:rStyle w:val="Hyperlink"/>
            <w:rFonts w:ascii="Adobe Garamond Pro" w:hAnsi="Adobe Garamond Pro" w:cs="Times New Roman"/>
            <w:color w:val="auto"/>
            <w:sz w:val="20"/>
            <w:szCs w:val="20"/>
            <w:u w:val="none"/>
          </w:rPr>
          <w:t>http://zakon.poslovna.hr/public/povelja-zajednice-o-osnovnim-socijalnim-pravima-radnika/2182/zakoni.aspx</w:t>
        </w:r>
      </w:hyperlink>
    </w:p>
    <w:p w:rsidR="00242AD7" w:rsidRPr="00EF67A4" w:rsidRDefault="00242AD7" w:rsidP="00EF67A4">
      <w:pPr>
        <w:pStyle w:val="ListParagraph"/>
        <w:numPr>
          <w:ilvl w:val="0"/>
          <w:numId w:val="36"/>
        </w:numPr>
        <w:spacing w:after="0" w:line="240" w:lineRule="auto"/>
        <w:ind w:left="284" w:hanging="284"/>
        <w:rPr>
          <w:rFonts w:ascii="Adobe Garamond Pro" w:hAnsi="Adobe Garamond Pro" w:cs="Times New Roman"/>
          <w:sz w:val="20"/>
          <w:szCs w:val="20"/>
        </w:rPr>
      </w:pPr>
      <w:r w:rsidRPr="00EF67A4">
        <w:rPr>
          <w:rFonts w:ascii="Adobe Garamond Pro" w:hAnsi="Adobe Garamond Pro" w:cs="Times New Roman"/>
          <w:sz w:val="20"/>
          <w:szCs w:val="20"/>
        </w:rPr>
        <w:t xml:space="preserve">Gesetzentwurf der Bundesregierung, Entwurf eines Gesetzes zu dem Vertrag vom 29. Oktober 2004, dostupno na: </w:t>
      </w:r>
      <w:hyperlink r:id="rId12" w:history="1">
        <w:r w:rsidRPr="00EF67A4">
          <w:rPr>
            <w:rStyle w:val="Hyperlink"/>
            <w:rFonts w:ascii="Adobe Garamond Pro" w:hAnsi="Adobe Garamond Pro" w:cs="Times New Roman"/>
            <w:color w:val="auto"/>
            <w:sz w:val="20"/>
            <w:szCs w:val="20"/>
            <w:u w:val="none"/>
          </w:rPr>
          <w:t>http://dipbt.bundestag.de/dip21/btd/15/049/1504900.pdf</w:t>
        </w:r>
      </w:hyperlink>
      <w:r w:rsidRPr="00EF67A4">
        <w:rPr>
          <w:rFonts w:ascii="Adobe Garamond Pro" w:hAnsi="Adobe Garamond Pro" w:cs="Times New Roman"/>
          <w:sz w:val="20"/>
          <w:szCs w:val="20"/>
        </w:rPr>
        <w:t xml:space="preserve"> </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Memorandum on the accession of the European Communities to the Convention for the Protection of Human Rights and Fundamental Freedoms, dostupno na: http://aei.pitt.edu/6356/</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Opinion of the Court of 28 March 1996, Accession by the Community to the European Convention for the Protection of Human Rights and Fundamental Freedoms, Opinion 2/94.</w:t>
      </w:r>
    </w:p>
    <w:p w:rsidR="00242AD7" w:rsidRPr="00242AD7" w:rsidRDefault="00242AD7" w:rsidP="00EF67A4">
      <w:pPr>
        <w:pStyle w:val="FootnoteText"/>
        <w:numPr>
          <w:ilvl w:val="0"/>
          <w:numId w:val="36"/>
        </w:numPr>
        <w:ind w:left="284" w:hanging="284"/>
        <w:jc w:val="both"/>
        <w:rPr>
          <w:rFonts w:ascii="Adobe Garamond Pro" w:hAnsi="Adobe Garamond Pro"/>
        </w:rPr>
      </w:pPr>
      <w:r w:rsidRPr="00242AD7">
        <w:rPr>
          <w:rFonts w:ascii="Adobe Garamond Pro" w:hAnsi="Adobe Garamond Pro"/>
        </w:rPr>
        <w:t xml:space="preserve">Povelja o temeljnim pravima Europske Unije, Službeni glasnik Europske unije C 83 od 30.03.2010. godine </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Prečišćena inačica Ugovora o Europskoj uniji i Ugovora o uspostavljanju Europske zajednice, Službeni glasnik Europske unije C 321 E/1 od 29.12.2006. godine</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Protokol o primjeni Povelje Europske unije o temeljnim pravima na Poljsku i Ujedinjeno Kraljevstvo, Službeni glasnik Europske unije C 83 od 30.03.2010. godine.</w:t>
      </w:r>
    </w:p>
    <w:p w:rsidR="00242AD7" w:rsidRPr="00EF67A4" w:rsidRDefault="00242AD7" w:rsidP="00EF67A4">
      <w:pPr>
        <w:pStyle w:val="ListParagraph"/>
        <w:numPr>
          <w:ilvl w:val="0"/>
          <w:numId w:val="36"/>
        </w:numPr>
        <w:spacing w:after="0" w:line="240" w:lineRule="auto"/>
        <w:ind w:left="284" w:hanging="284"/>
        <w:jc w:val="both"/>
        <w:rPr>
          <w:rFonts w:ascii="Adobe Garamond Pro" w:hAnsi="Adobe Garamond Pro" w:cs="Times New Roman"/>
          <w:sz w:val="20"/>
          <w:szCs w:val="20"/>
        </w:rPr>
      </w:pPr>
      <w:r w:rsidRPr="00EF67A4">
        <w:rPr>
          <w:rFonts w:ascii="Adobe Garamond Pro" w:hAnsi="Adobe Garamond Pro" w:cs="Times New Roman"/>
          <w:sz w:val="20"/>
          <w:szCs w:val="20"/>
        </w:rPr>
        <w:t>Schlussfolgerungen des Vorsitzes des Europäischen Rates in Nizza vom 7. und 8. Dezember 2000, Bulletin EU 12-2000, 1.1.3</w:t>
      </w:r>
    </w:p>
    <w:p w:rsidR="00242AD7" w:rsidRPr="00EF67A4" w:rsidRDefault="00242AD7" w:rsidP="00EF67A4">
      <w:pPr>
        <w:pStyle w:val="ListParagraph"/>
        <w:numPr>
          <w:ilvl w:val="0"/>
          <w:numId w:val="36"/>
        </w:numPr>
        <w:spacing w:after="0" w:line="240" w:lineRule="auto"/>
        <w:ind w:left="284" w:hanging="284"/>
        <w:rPr>
          <w:rFonts w:ascii="Adobe Garamond Pro" w:hAnsi="Adobe Garamond Pro" w:cs="Times New Roman"/>
          <w:sz w:val="20"/>
          <w:szCs w:val="20"/>
        </w:rPr>
      </w:pPr>
      <w:r w:rsidRPr="00EF67A4">
        <w:rPr>
          <w:rFonts w:ascii="Adobe Garamond Pro" w:hAnsi="Adobe Garamond Pro" w:cs="Times New Roman"/>
          <w:sz w:val="20"/>
          <w:szCs w:val="20"/>
        </w:rPr>
        <w:t xml:space="preserve">Statut Vijeća Europe, dostupno na: </w:t>
      </w:r>
      <w:hyperlink r:id="rId13" w:history="1">
        <w:r w:rsidRPr="00EF67A4">
          <w:rPr>
            <w:rStyle w:val="Hyperlink"/>
            <w:rFonts w:ascii="Adobe Garamond Pro" w:hAnsi="Adobe Garamond Pro" w:cs="Times New Roman"/>
            <w:color w:val="auto"/>
            <w:sz w:val="20"/>
            <w:szCs w:val="20"/>
            <w:u w:val="none"/>
          </w:rPr>
          <w:t>http://conventions.coe.int/Treaty/ger/Treaties/Html/001.htm</w:t>
        </w:r>
      </w:hyperlink>
      <w:r w:rsidRPr="00EF67A4">
        <w:rPr>
          <w:rFonts w:ascii="Adobe Garamond Pro" w:hAnsi="Adobe Garamond Pro" w:cs="Times New Roman"/>
          <w:sz w:val="20"/>
          <w:szCs w:val="20"/>
        </w:rPr>
        <w:t xml:space="preserve"> </w:t>
      </w:r>
    </w:p>
    <w:p w:rsidR="002D2430" w:rsidRPr="004F51BA" w:rsidRDefault="002D2430" w:rsidP="00242AD7">
      <w:pPr>
        <w:pStyle w:val="ListParagraph"/>
        <w:spacing w:after="0" w:line="240" w:lineRule="auto"/>
        <w:ind w:left="0"/>
        <w:jc w:val="both"/>
        <w:rPr>
          <w:rFonts w:ascii="Adobe Garamond Pro" w:hAnsi="Adobe Garamond Pro"/>
          <w:b/>
          <w:sz w:val="20"/>
          <w:szCs w:val="20"/>
          <w:lang w:val="bs-Latn-BA"/>
        </w:rPr>
      </w:pPr>
    </w:p>
    <w:sectPr w:rsidR="002D2430" w:rsidRPr="004F51BA" w:rsidSect="00D757CB">
      <w:headerReference w:type="even" r:id="rId14"/>
      <w:headerReference w:type="default" r:id="rId15"/>
      <w:footerReference w:type="even" r:id="rId16"/>
      <w:footerReference w:type="default" r:id="rId17"/>
      <w:headerReference w:type="first" r:id="rId18"/>
      <w:footerReference w:type="first" r:id="rId19"/>
      <w:type w:val="continuous"/>
      <w:pgSz w:w="10319" w:h="14578" w:code="138"/>
      <w:pgMar w:top="-1843" w:right="1389" w:bottom="1985" w:left="1701" w:header="1134" w:footer="1418"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7C3" w:rsidRDefault="00F877C3" w:rsidP="000C691C">
      <w:pPr>
        <w:spacing w:after="0" w:line="240" w:lineRule="auto"/>
      </w:pPr>
      <w:r>
        <w:separator/>
      </w:r>
    </w:p>
  </w:endnote>
  <w:endnote w:type="continuationSeparator" w:id="1">
    <w:p w:rsidR="00F877C3" w:rsidRDefault="00F877C3"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361CCF">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EF67A4">
      <w:rPr>
        <w:rFonts w:ascii="Adobe Garamond Pro" w:hAnsi="Adobe Garamond Pro" w:cs="Times New Roman"/>
        <w:noProof/>
        <w:sz w:val="20"/>
        <w:szCs w:val="20"/>
      </w:rPr>
      <w:t>54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361CCF"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361CCF" w:rsidRPr="00FE57C1">
      <w:rPr>
        <w:rFonts w:ascii="Adobe Garamond Pro" w:hAnsi="Adobe Garamond Pro" w:cs="Times New Roman"/>
        <w:sz w:val="20"/>
        <w:szCs w:val="20"/>
      </w:rPr>
      <w:fldChar w:fldCharType="separate"/>
    </w:r>
    <w:r w:rsidR="00EF67A4">
      <w:rPr>
        <w:rFonts w:ascii="Adobe Garamond Pro" w:hAnsi="Adobe Garamond Pro" w:cs="Times New Roman"/>
        <w:noProof/>
        <w:sz w:val="20"/>
        <w:szCs w:val="20"/>
      </w:rPr>
      <w:t>53</w:t>
    </w:r>
    <w:r w:rsidR="00361CCF"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361CCF"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242AD7">
      <w:rPr>
        <w:rFonts w:ascii="Adobe Garamond Pro" w:hAnsi="Adobe Garamond Pro" w:cs="Times New Roman"/>
        <w:noProof/>
        <w:sz w:val="20"/>
        <w:szCs w:val="20"/>
      </w:rPr>
      <w:t>39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7C3" w:rsidRDefault="00F877C3" w:rsidP="000C691C">
      <w:pPr>
        <w:spacing w:after="0" w:line="240" w:lineRule="auto"/>
      </w:pPr>
      <w:r>
        <w:separator/>
      </w:r>
    </w:p>
  </w:footnote>
  <w:footnote w:type="continuationSeparator" w:id="1">
    <w:p w:rsidR="00F877C3" w:rsidRDefault="00F877C3" w:rsidP="000C691C">
      <w:pPr>
        <w:spacing w:after="0" w:line="240" w:lineRule="auto"/>
      </w:pPr>
      <w:r>
        <w:continuationSeparator/>
      </w:r>
    </w:p>
  </w:footnote>
  <w:footnote w:id="2">
    <w:p w:rsidR="00242AD7" w:rsidRPr="00EF67A4" w:rsidRDefault="00242AD7" w:rsidP="00242AD7">
      <w:pPr>
        <w:pStyle w:val="FootnoteText"/>
        <w:rPr>
          <w:rFonts w:ascii="Adobe Garamond Pro" w:hAnsi="Adobe Garamond Pro"/>
          <w:sz w:val="18"/>
          <w:szCs w:val="18"/>
        </w:rPr>
      </w:pPr>
      <w:r w:rsidRPr="00EF67A4">
        <w:rPr>
          <w:rFonts w:ascii="Adobe Garamond Pro" w:hAnsi="Adobe Garamond Pro"/>
          <w:sz w:val="18"/>
          <w:szCs w:val="18"/>
          <w:vertAlign w:val="superscript"/>
        </w:rPr>
        <w:t>*</w:t>
      </w:r>
      <w:r w:rsidRPr="00EF67A4">
        <w:rPr>
          <w:rFonts w:ascii="Adobe Garamond Pro" w:hAnsi="Adobe Garamond Pro"/>
          <w:sz w:val="18"/>
          <w:szCs w:val="18"/>
        </w:rPr>
        <w:t xml:space="preserve">E-mail: </w:t>
      </w:r>
      <w:hyperlink r:id="rId1" w:history="1">
        <w:r w:rsidRPr="00EF67A4">
          <w:rPr>
            <w:rStyle w:val="Hyperlink"/>
            <w:rFonts w:ascii="Adobe Garamond Pro" w:hAnsi="Adobe Garamond Pro"/>
            <w:color w:val="auto"/>
            <w:sz w:val="18"/>
            <w:szCs w:val="18"/>
            <w:u w:val="none"/>
          </w:rPr>
          <w:t>sanja.bazina@dei.gov.ba</w:t>
        </w:r>
      </w:hyperlink>
      <w:r w:rsidRPr="00EF67A4">
        <w:rPr>
          <w:rFonts w:ascii="Adobe Garamond Pro" w:hAnsi="Adobe Garamond Pro"/>
          <w:sz w:val="18"/>
          <w:szCs w:val="18"/>
        </w:rPr>
        <w:t xml:space="preserve"> </w:t>
      </w:r>
    </w:p>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WEIDENFELD, Werner, Lissabon in der Analyse, Der Reformvertrag der Europäischen Union, 2008, Str. 19.</w:t>
      </w:r>
    </w:p>
  </w:footnote>
  <w:footnote w:id="3">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Ugovor o Ustavu Europske unije potpisan  je 29. listopada 2004. godine, ali nikada nije stupio na snagu zbog negativnog rezulatata referenduma o ratifikaciji, održanih u Francuskoj i Nizozemskoj.</w:t>
      </w:r>
    </w:p>
  </w:footnote>
  <w:footnote w:id="4">
    <w:p w:rsidR="00242AD7" w:rsidRPr="00EF67A4" w:rsidRDefault="00242AD7" w:rsidP="00242AD7">
      <w:pPr>
        <w:pStyle w:val="FootnoteText"/>
        <w:jc w:val="both"/>
        <w:rPr>
          <w:rFonts w:ascii="Adobe Garamond Pro" w:eastAsiaTheme="minorHAnsi" w:hAnsi="Adobe Garamond Pro"/>
          <w:sz w:val="18"/>
          <w:szCs w:val="18"/>
          <w:lang w:val="hr-HR" w:eastAsia="en-US"/>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w:t>
      </w:r>
      <w:r w:rsidRPr="00EF67A4">
        <w:rPr>
          <w:rFonts w:ascii="Adobe Garamond Pro" w:eastAsiaTheme="minorHAnsi" w:hAnsi="Adobe Garamond Pro"/>
          <w:sz w:val="18"/>
          <w:szCs w:val="18"/>
          <w:lang w:val="hr-HR" w:eastAsia="en-US"/>
        </w:rPr>
        <w:t xml:space="preserve">Članak 6 stavak 1,2 Ugovora o Europskoj uniji, Prečišćena inačica Ugovora o Europskoj uniji i Ugovora o uspostavljanju Europske zajednice, Službeni glasnik Europske unije C 321 E/1 od 29.12.2006. godine. </w:t>
      </w:r>
    </w:p>
  </w:footnote>
  <w:footnote w:id="5">
    <w:p w:rsidR="00242AD7" w:rsidRPr="00EF67A4" w:rsidRDefault="00242AD7" w:rsidP="00242AD7">
      <w:pPr>
        <w:pStyle w:val="FootnoteText"/>
        <w:jc w:val="both"/>
        <w:rPr>
          <w:rFonts w:ascii="Adobe Garamond Pro" w:eastAsiaTheme="minorHAnsi" w:hAnsi="Adobe Garamond Pro"/>
          <w:sz w:val="18"/>
          <w:szCs w:val="18"/>
          <w:lang w:val="hr-HR" w:eastAsia="en-US"/>
        </w:rPr>
      </w:pPr>
      <w:r w:rsidRPr="00EF67A4">
        <w:rPr>
          <w:rStyle w:val="FootnoteReference"/>
          <w:rFonts w:ascii="Adobe Garamond Pro" w:hAnsi="Adobe Garamond Pro"/>
          <w:sz w:val="18"/>
          <w:szCs w:val="18"/>
        </w:rPr>
        <w:footnoteRef/>
      </w:r>
      <w:r w:rsidRPr="00EF67A4">
        <w:rPr>
          <w:rFonts w:ascii="Adobe Garamond Pro" w:eastAsiaTheme="minorHAnsi" w:hAnsi="Adobe Garamond Pro"/>
          <w:sz w:val="18"/>
          <w:szCs w:val="18"/>
          <w:lang w:val="de-AT" w:eastAsia="en-US"/>
        </w:rPr>
        <w:t>ALBER, Siegbert, Die Grund- und Menschenrechte in der Europäischen Union, 2007,  Str. 318.</w:t>
      </w:r>
    </w:p>
  </w:footnote>
  <w:footnote w:id="6">
    <w:p w:rsidR="00242AD7" w:rsidRPr="00EF67A4" w:rsidRDefault="00242AD7" w:rsidP="00242AD7">
      <w:pPr>
        <w:pStyle w:val="FootnoteText"/>
        <w:jc w:val="both"/>
        <w:rPr>
          <w:rFonts w:ascii="Adobe Garamond Pro" w:eastAsiaTheme="minorHAnsi" w:hAnsi="Adobe Garamond Pro"/>
          <w:sz w:val="18"/>
          <w:szCs w:val="18"/>
          <w:lang w:val="hr-HR" w:eastAsia="en-US"/>
        </w:rPr>
      </w:pPr>
      <w:r w:rsidRPr="00EF67A4">
        <w:rPr>
          <w:rStyle w:val="FootnoteReference"/>
          <w:rFonts w:ascii="Adobe Garamond Pro" w:hAnsi="Adobe Garamond Pro"/>
          <w:sz w:val="18"/>
          <w:szCs w:val="18"/>
        </w:rPr>
        <w:footnoteRef/>
      </w:r>
      <w:r w:rsidRPr="00EF67A4">
        <w:rPr>
          <w:rFonts w:ascii="Adobe Garamond Pro" w:eastAsiaTheme="minorHAnsi" w:hAnsi="Adobe Garamond Pro"/>
          <w:sz w:val="18"/>
          <w:szCs w:val="18"/>
          <w:lang w:val="hr-HR" w:eastAsia="en-US"/>
        </w:rPr>
        <w:t>Članak 49 Ugovora o Europskoj uniji, Prečišćena inačica Ugovora o Europskoj uniji i Ugovora o uspostavljanju Europske zajednice, Službeni glasnik Europske unije C 321 E/1 od 29.12.2006. godine</w:t>
      </w:r>
    </w:p>
  </w:footnote>
  <w:footnote w:id="7">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w:t>
      </w:r>
      <w:r w:rsidRPr="00EF67A4">
        <w:rPr>
          <w:rFonts w:ascii="Adobe Garamond Pro" w:hAnsi="Adobe Garamond Pro"/>
          <w:sz w:val="18"/>
          <w:szCs w:val="18"/>
          <w:lang w:val="hr-HR"/>
        </w:rPr>
        <w:t>Članak 7 Ugovora o Europskoj uniji, Prečišćena inačica Ugovora o Europskoj uniji i Ugovora o uspostavljanju Europske zajednice, Službeni glasnik Europske unije C 321 E/1 od 29.12.2006. godine</w:t>
      </w:r>
    </w:p>
  </w:footnote>
  <w:footnote w:id="8">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ALBER, 2007, Str. 320.</w:t>
      </w:r>
    </w:p>
  </w:footnote>
  <w:footnote w:id="9">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w:t>
      </w:r>
      <w:r w:rsidRPr="00EF67A4">
        <w:rPr>
          <w:rFonts w:ascii="Adobe Garamond Pro" w:hAnsi="Adobe Garamond Pro"/>
          <w:sz w:val="18"/>
          <w:szCs w:val="18"/>
          <w:lang w:val="hr-HR"/>
        </w:rPr>
        <w:t>Članak 12 Ugovora o uspostavljanju Europske zajednice, Prečišćena inačica Ugovora o Europskoj uniji i Ugovora o uspostavljanju Europske zajednice, Službeni glasnik Europske unije C 321 E/1 od 29.12.2006. godine.</w:t>
      </w:r>
    </w:p>
  </w:footnote>
  <w:footnote w:id="10">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w:t>
      </w:r>
      <w:r w:rsidRPr="00EF67A4">
        <w:rPr>
          <w:rFonts w:ascii="Adobe Garamond Pro" w:hAnsi="Adobe Garamond Pro"/>
          <w:sz w:val="18"/>
          <w:szCs w:val="18"/>
          <w:lang w:val="hr-HR"/>
        </w:rPr>
        <w:t>Članak 13 Ugovora o uspostavljanju Europske zajednice, Prečišćena inačica Ugovora o Europskoj uniji i Ugovora o uspostavljanju Europske zajednice, Službeni glasnik Europske unije C 321 E/1 od 29.12.2006. godine.</w:t>
      </w:r>
    </w:p>
  </w:footnote>
  <w:footnote w:id="11">
    <w:p w:rsidR="00242AD7" w:rsidRPr="00EF67A4" w:rsidRDefault="00242AD7" w:rsidP="00242AD7">
      <w:pPr>
        <w:pStyle w:val="FootnoteText"/>
        <w:jc w:val="both"/>
        <w:rPr>
          <w:rFonts w:ascii="Adobe Garamond Pro" w:eastAsiaTheme="minorHAnsi" w:hAnsi="Adobe Garamond Pro"/>
          <w:sz w:val="18"/>
          <w:szCs w:val="18"/>
          <w:lang w:val="hr-HR" w:eastAsia="en-US"/>
        </w:rPr>
      </w:pPr>
      <w:r w:rsidRPr="00EF67A4">
        <w:rPr>
          <w:rStyle w:val="FootnoteReference"/>
          <w:rFonts w:ascii="Adobe Garamond Pro" w:hAnsi="Adobe Garamond Pro"/>
          <w:sz w:val="18"/>
          <w:szCs w:val="18"/>
        </w:rPr>
        <w:footnoteRef/>
      </w:r>
      <w:r w:rsidRPr="00EF67A4">
        <w:rPr>
          <w:rFonts w:ascii="Adobe Garamond Pro" w:eastAsiaTheme="minorHAnsi" w:hAnsi="Adobe Garamond Pro"/>
          <w:sz w:val="18"/>
          <w:szCs w:val="18"/>
          <w:lang w:val="hr-HR" w:eastAsia="en-US"/>
        </w:rPr>
        <w:t>EuGH, Rs. C-29/69, Slg. 1969, 419, Stauder gegen Ulm-Sozialamt. U ovom slučaju radi se o povredi prava na privatnost, zbog obveze legitimiranja korisnika socijalne pomoći, kako su zahtijevale njemačke vlasti u okviru određenog programa Zajednice.</w:t>
      </w:r>
    </w:p>
  </w:footnote>
  <w:footnote w:id="12">
    <w:p w:rsidR="00242AD7" w:rsidRPr="00EF67A4" w:rsidRDefault="00242AD7" w:rsidP="00242AD7">
      <w:pPr>
        <w:pStyle w:val="FootnoteText"/>
        <w:jc w:val="both"/>
        <w:rPr>
          <w:rFonts w:ascii="Adobe Garamond Pro" w:eastAsiaTheme="minorHAnsi" w:hAnsi="Adobe Garamond Pro"/>
          <w:sz w:val="18"/>
          <w:szCs w:val="18"/>
          <w:lang w:val="hr-HR" w:eastAsia="en-US"/>
        </w:rPr>
      </w:pPr>
      <w:r w:rsidRPr="00EF67A4">
        <w:rPr>
          <w:rStyle w:val="FootnoteReference"/>
          <w:rFonts w:ascii="Adobe Garamond Pro" w:hAnsi="Adobe Garamond Pro"/>
          <w:sz w:val="18"/>
          <w:szCs w:val="18"/>
        </w:rPr>
        <w:footnoteRef/>
      </w:r>
      <w:r w:rsidRPr="00EF67A4">
        <w:rPr>
          <w:rFonts w:ascii="Adobe Garamond Pro" w:eastAsiaTheme="minorHAnsi" w:hAnsi="Adobe Garamond Pro"/>
          <w:sz w:val="18"/>
          <w:szCs w:val="18"/>
          <w:lang w:val="hr-HR" w:eastAsia="en-US"/>
        </w:rPr>
        <w:t>CRNIĆ-GROTIĆ, Vesna / SGARDELLI CAR, Nataša, Ljudska prava u Europskoj uniji u praksi Europskog suda u Luksemburgu, Zbornik pravnog fakulteta u Zagrebu, 60, (5), 971-994 (2010), Str. 977.</w:t>
      </w:r>
    </w:p>
  </w:footnote>
  <w:footnote w:id="13">
    <w:p w:rsidR="00242AD7" w:rsidRPr="00EF67A4" w:rsidRDefault="00242AD7" w:rsidP="00242AD7">
      <w:pPr>
        <w:pStyle w:val="FootnoteText"/>
        <w:jc w:val="both"/>
        <w:rPr>
          <w:rFonts w:ascii="Adobe Garamond Pro" w:eastAsiaTheme="minorHAnsi" w:hAnsi="Adobe Garamond Pro"/>
          <w:sz w:val="18"/>
          <w:szCs w:val="18"/>
          <w:lang w:val="hr-HR" w:eastAsia="en-US"/>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w:t>
      </w:r>
      <w:r w:rsidRPr="00EF67A4">
        <w:rPr>
          <w:rFonts w:ascii="Adobe Garamond Pro" w:eastAsiaTheme="minorHAnsi" w:hAnsi="Adobe Garamond Pro"/>
          <w:sz w:val="18"/>
          <w:szCs w:val="18"/>
          <w:lang w:val="hr-HR" w:eastAsia="en-US"/>
        </w:rPr>
        <w:t>EuGH Rs. C-11/70 - Internationale Handelsgesellschaft mbH / Einfuhr- und Vorratsstelle für Getreide und Futtermittel. U ovom slučaju Sud je prihvatio načelo razmjernosti, razvijeno u njemačkom ustavnom pravu kao opće načelo prava Zajednice. Tužitelji su se naime pozivali na ovo načelo, tvrdeći da su kroz sustav zajedničke poljoprivredne politike povrijeđena ljudska prava.</w:t>
      </w:r>
    </w:p>
  </w:footnote>
  <w:footnote w:id="14">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EuGH Rs. Nold. C-4/73 –J.Nold – Kohlen- und Baustoffgrosshandlung gegen Ruhrkohle Aktiengesellschaft.</w:t>
      </w:r>
    </w:p>
  </w:footnote>
  <w:footnote w:id="15">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PACHE, Eckhard, Die Rolle der EMRK und Grundrechte-Charta in der EU, Der Lissaboner Reformvertrag, Aenderungsimpulse in einzelnen Rechts- un Politikbereichen, Hrsg: FATENRATCH, Urlich und NOWAK, Carsten, 2009, Str. 115.</w:t>
      </w:r>
    </w:p>
  </w:footnote>
  <w:footnote w:id="16">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CALLIESIS, Christian, in EHLERS, Dirk (Hrsg.), Europäische Grundrechte und Grundfreiheiten, 2005, Str. 531.</w:t>
      </w:r>
    </w:p>
  </w:footnote>
  <w:footnote w:id="17">
    <w:p w:rsidR="00242AD7" w:rsidRPr="00EF67A4" w:rsidRDefault="00242AD7" w:rsidP="00242AD7">
      <w:pPr>
        <w:pStyle w:val="FootnoteText"/>
        <w:jc w:val="both"/>
        <w:rPr>
          <w:rFonts w:ascii="Adobe Garamond Pro" w:eastAsiaTheme="minorHAnsi" w:hAnsi="Adobe Garamond Pro"/>
          <w:sz w:val="18"/>
          <w:szCs w:val="18"/>
          <w:lang w:val="de-AT" w:eastAsia="en-US"/>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w:t>
      </w:r>
      <w:r w:rsidRPr="00EF67A4">
        <w:rPr>
          <w:rFonts w:ascii="Adobe Garamond Pro" w:eastAsiaTheme="minorHAnsi" w:hAnsi="Adobe Garamond Pro"/>
          <w:sz w:val="18"/>
          <w:szCs w:val="18"/>
          <w:lang w:val="de-AT" w:eastAsia="en-US"/>
        </w:rPr>
        <w:t>Schlussfolgerungen des Vorsitzes des Europäischen Rates in Nizza vom 7. und 8. Dezember 2000, Bulletin EU 12-2000, 1.1.3.</w:t>
      </w:r>
    </w:p>
  </w:footnote>
  <w:footnote w:id="18">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GRABENWARTER, Christoph in BUSEK, Erhard / HUMMER, Waldemar (Hrsg.), Der Europäische Konvent und sein Ergebnis – eine Europäische Verfassung, Ausgewählten Rechtsfragen samt Dokumentation, 2004, Str. 72.</w:t>
      </w:r>
    </w:p>
  </w:footnote>
  <w:footnote w:id="19">
    <w:p w:rsidR="00242AD7" w:rsidRPr="00EF67A4" w:rsidRDefault="00242AD7" w:rsidP="00242AD7">
      <w:pPr>
        <w:pStyle w:val="FootnoteText"/>
        <w:jc w:val="both"/>
        <w:rPr>
          <w:rFonts w:ascii="Adobe Garamond Pro" w:eastAsiaTheme="minorHAnsi" w:hAnsi="Adobe Garamond Pro"/>
          <w:sz w:val="18"/>
          <w:szCs w:val="18"/>
          <w:lang w:val="de-AT" w:eastAsia="en-US"/>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w:t>
      </w:r>
      <w:r w:rsidRPr="00EF67A4">
        <w:rPr>
          <w:rFonts w:ascii="Adobe Garamond Pro" w:eastAsiaTheme="minorHAnsi" w:hAnsi="Adobe Garamond Pro"/>
          <w:sz w:val="18"/>
          <w:szCs w:val="18"/>
          <w:lang w:val="de-AT" w:eastAsia="en-US"/>
        </w:rPr>
        <w:t xml:space="preserve">Članak 7 Ugovora o Ustavu za Europu, Gesetzentwurf der Bundesregierung, Entwurf eines Gesetzes zu dem Vertrag vom 29. Oktober 2004, dostupno na: </w:t>
      </w:r>
      <w:hyperlink r:id="rId2" w:history="1">
        <w:r w:rsidRPr="00EF67A4">
          <w:rPr>
            <w:rFonts w:ascii="Adobe Garamond Pro" w:eastAsiaTheme="minorHAnsi" w:hAnsi="Adobe Garamond Pro"/>
            <w:sz w:val="18"/>
            <w:szCs w:val="18"/>
            <w:lang w:val="de-AT" w:eastAsia="en-US"/>
          </w:rPr>
          <w:t>http://dipbt.bundestag.de/dip21/btd/15/049/1504900.pdf</w:t>
        </w:r>
      </w:hyperlink>
      <w:r w:rsidRPr="00EF67A4">
        <w:rPr>
          <w:rFonts w:ascii="Adobe Garamond Pro" w:eastAsiaTheme="minorHAnsi" w:hAnsi="Adobe Garamond Pro"/>
          <w:sz w:val="18"/>
          <w:szCs w:val="18"/>
          <w:lang w:val="de-AT" w:eastAsia="en-US"/>
        </w:rPr>
        <w:t xml:space="preserve"> </w:t>
      </w:r>
    </w:p>
  </w:footnote>
  <w:footnote w:id="20">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PACHE, 2009, Str. 114 i PACHE, Eckhard, Die Europäische Grundrechtscharta – ein Rückschritt für den Grundrechtschutz in Europa, EuR  2001. Str. 475.</w:t>
      </w:r>
    </w:p>
  </w:footnote>
  <w:footnote w:id="21">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STREINZ, Rudolf/ OHLER, Christoph/ HERRMAN, Christoph, Der Vertrag von Lissabon zur Reform der EU – Einführung mit Synopse, 2. Aufl. 2008, Str. 104.</w:t>
      </w:r>
    </w:p>
  </w:footnote>
  <w:footnote w:id="22">
    <w:p w:rsidR="00242AD7" w:rsidRPr="00EF67A4" w:rsidRDefault="00242AD7" w:rsidP="00242AD7">
      <w:pPr>
        <w:pStyle w:val="FootnoteText"/>
        <w:jc w:val="both"/>
        <w:rPr>
          <w:rFonts w:ascii="Adobe Garamond Pro" w:hAnsi="Adobe Garamond Pro"/>
          <w:sz w:val="18"/>
          <w:szCs w:val="18"/>
          <w:lang w:val="de-DE"/>
        </w:rPr>
      </w:pPr>
      <w:r w:rsidRPr="00EF67A4">
        <w:rPr>
          <w:rStyle w:val="FootnoteReference"/>
          <w:rFonts w:ascii="Adobe Garamond Pro" w:hAnsi="Adobe Garamond Pro"/>
          <w:sz w:val="18"/>
          <w:szCs w:val="18"/>
        </w:rPr>
        <w:footnoteRef/>
      </w:r>
      <w:r w:rsidRPr="00EF67A4">
        <w:rPr>
          <w:rFonts w:ascii="Adobe Garamond Pro" w:hAnsi="Adobe Garamond Pro"/>
          <w:sz w:val="18"/>
          <w:szCs w:val="18"/>
          <w:lang w:val="de-DE"/>
        </w:rPr>
        <w:t xml:space="preserve"> PACHE, 2009, Str. 118.</w:t>
      </w:r>
    </w:p>
  </w:footnote>
  <w:footnote w:id="23">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PERNICE, Ingolf, Der Vertrag von Lissabon – Ende der Verfassungsprozesses der EU? EuZW 2008, Str. 65.</w:t>
      </w:r>
    </w:p>
  </w:footnote>
  <w:footnote w:id="24">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Glava IV Povelje o temeljnim pravima Europske Unije, Službeni glasnik Europske unije C 83 od 30.03.2010. godine. </w:t>
      </w:r>
    </w:p>
  </w:footnote>
  <w:footnote w:id="25">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Europska socijala povelja, dostupno na: </w:t>
      </w:r>
      <w:hyperlink r:id="rId3" w:history="1">
        <w:r w:rsidRPr="00EF67A4">
          <w:rPr>
            <w:rStyle w:val="Hyperlink"/>
            <w:rFonts w:ascii="Adobe Garamond Pro" w:hAnsi="Adobe Garamond Pro"/>
            <w:color w:val="auto"/>
            <w:sz w:val="18"/>
            <w:szCs w:val="18"/>
            <w:u w:val="none"/>
          </w:rPr>
          <w:t>http://www.coe.int/t/dghl/monitoring/socialcharter/presentation/escrbooklet/Croatian.pdf</w:t>
        </w:r>
      </w:hyperlink>
    </w:p>
  </w:footnote>
  <w:footnote w:id="26">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Europska povelja o osnovnim socijnim pravima radnika, dostupno na : </w:t>
      </w:r>
      <w:hyperlink r:id="rId4" w:history="1">
        <w:r w:rsidRPr="00EF67A4">
          <w:rPr>
            <w:rStyle w:val="Hyperlink"/>
            <w:rFonts w:ascii="Adobe Garamond Pro" w:hAnsi="Adobe Garamond Pro"/>
            <w:color w:val="auto"/>
            <w:sz w:val="18"/>
            <w:szCs w:val="18"/>
            <w:u w:val="none"/>
          </w:rPr>
          <w:t>http://zakon.poslovna.hr/public/povelja-zajednice-o-osnovnim-socijalnim-pravima-radnika/2182/zakoni.aspx</w:t>
        </w:r>
      </w:hyperlink>
    </w:p>
  </w:footnote>
  <w:footnote w:id="27">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Članak 52 Povelje o temeljnim pravima Europske unije, Službeni glasnik Europske unije C 83 od 30.03.2010. godine.</w:t>
      </w:r>
    </w:p>
  </w:footnote>
  <w:footnote w:id="28">
    <w:p w:rsidR="00242AD7" w:rsidRPr="00EF67A4" w:rsidRDefault="00242AD7" w:rsidP="00242AD7">
      <w:pPr>
        <w:pStyle w:val="FootnoteText"/>
        <w:rPr>
          <w:rFonts w:ascii="Adobe Garamond Pro" w:hAnsi="Adobe Garamond Pro"/>
          <w:sz w:val="18"/>
          <w:szCs w:val="18"/>
          <w:lang w:val="hr-HR"/>
        </w:rPr>
      </w:pPr>
      <w:r w:rsidRPr="00EF67A4">
        <w:rPr>
          <w:rStyle w:val="FootnoteReference"/>
          <w:rFonts w:ascii="Adobe Garamond Pro" w:hAnsi="Adobe Garamond Pro"/>
          <w:sz w:val="18"/>
          <w:szCs w:val="18"/>
        </w:rPr>
        <w:footnoteRef/>
      </w:r>
      <w:r w:rsidRPr="00EF67A4">
        <w:rPr>
          <w:rFonts w:ascii="Adobe Garamond Pro" w:hAnsi="Adobe Garamond Pro"/>
          <w:sz w:val="18"/>
          <w:szCs w:val="18"/>
          <w:lang w:val="hr-HR"/>
        </w:rPr>
        <w:t xml:space="preserve">PACHE, 2009, Str. 121. </w:t>
      </w:r>
    </w:p>
  </w:footnote>
  <w:footnote w:id="29">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lang w:val="hr-HR"/>
        </w:rPr>
        <w:footnoteRef/>
      </w:r>
      <w:r w:rsidRPr="00EF67A4">
        <w:rPr>
          <w:rFonts w:ascii="Adobe Garamond Pro" w:hAnsi="Adobe Garamond Pro"/>
          <w:sz w:val="18"/>
          <w:szCs w:val="18"/>
          <w:lang w:val="hr-HR"/>
        </w:rPr>
        <w:t>Protokol o primjeni Povelje Europske unije o temeljnim pravima na Poljsku i Ujedinjeno Kraljevstvo, Službeni glasnik Europske unije C 83 od 30.03.2010. godine.</w:t>
      </w:r>
    </w:p>
  </w:footnote>
  <w:footnote w:id="30">
    <w:p w:rsidR="00242AD7" w:rsidRPr="00EF67A4" w:rsidRDefault="00242AD7" w:rsidP="00242AD7">
      <w:pPr>
        <w:pStyle w:val="FootnoteText"/>
        <w:jc w:val="both"/>
        <w:rPr>
          <w:rFonts w:ascii="Adobe Garamond Pro" w:hAnsi="Adobe Garamond Pro"/>
          <w:sz w:val="18"/>
          <w:szCs w:val="18"/>
          <w:lang w:val="en-US"/>
        </w:rPr>
      </w:pPr>
      <w:r w:rsidRPr="00EF67A4">
        <w:rPr>
          <w:rStyle w:val="FootnoteReference"/>
          <w:rFonts w:ascii="Adobe Garamond Pro" w:hAnsi="Adobe Garamond Pro"/>
          <w:sz w:val="18"/>
          <w:szCs w:val="18"/>
        </w:rPr>
        <w:footnoteRef/>
      </w:r>
      <w:r w:rsidRPr="00EF67A4">
        <w:rPr>
          <w:rFonts w:ascii="Adobe Garamond Pro" w:hAnsi="Adobe Garamond Pro"/>
          <w:sz w:val="18"/>
          <w:szCs w:val="18"/>
          <w:lang w:val="en-US"/>
        </w:rPr>
        <w:t>Memorandum on the accession of the European Communities to the Convention for the</w:t>
      </w:r>
    </w:p>
    <w:p w:rsidR="00242AD7" w:rsidRPr="00EF67A4" w:rsidRDefault="00242AD7" w:rsidP="00242AD7">
      <w:pPr>
        <w:pStyle w:val="FootnoteText"/>
        <w:jc w:val="both"/>
        <w:rPr>
          <w:rFonts w:ascii="Adobe Garamond Pro" w:hAnsi="Adobe Garamond Pro"/>
          <w:sz w:val="18"/>
          <w:szCs w:val="18"/>
          <w:lang w:val="hr-HR"/>
        </w:rPr>
      </w:pPr>
      <w:r w:rsidRPr="00EF67A4">
        <w:rPr>
          <w:rFonts w:ascii="Adobe Garamond Pro" w:hAnsi="Adobe Garamond Pro"/>
          <w:sz w:val="18"/>
          <w:szCs w:val="18"/>
          <w:lang w:val="en-US"/>
        </w:rPr>
        <w:t xml:space="preserve">Protection of Human Rights and Fundamental Freedoms, </w:t>
      </w:r>
      <w:r w:rsidRPr="00EF67A4">
        <w:rPr>
          <w:rFonts w:ascii="Adobe Garamond Pro" w:hAnsi="Adobe Garamond Pro"/>
          <w:sz w:val="18"/>
          <w:szCs w:val="18"/>
          <w:lang w:val="hr-HR"/>
        </w:rPr>
        <w:t xml:space="preserve">dostupno na: </w:t>
      </w:r>
      <w:hyperlink r:id="rId5" w:history="1">
        <w:r w:rsidRPr="00EF67A4">
          <w:rPr>
            <w:rStyle w:val="Hyperlink"/>
            <w:rFonts w:ascii="Adobe Garamond Pro" w:hAnsi="Adobe Garamond Pro"/>
            <w:color w:val="auto"/>
            <w:sz w:val="18"/>
            <w:szCs w:val="18"/>
            <w:u w:val="none"/>
            <w:lang w:val="hr-HR"/>
          </w:rPr>
          <w:t>http://aei.pitt.edu/6356/</w:t>
        </w:r>
      </w:hyperlink>
    </w:p>
  </w:footnote>
  <w:footnote w:id="31">
    <w:p w:rsidR="00242AD7" w:rsidRPr="00EF67A4" w:rsidRDefault="00242AD7" w:rsidP="00242AD7">
      <w:pPr>
        <w:pStyle w:val="FootnoteText"/>
        <w:jc w:val="both"/>
        <w:rPr>
          <w:rFonts w:ascii="Adobe Garamond Pro" w:hAnsi="Adobe Garamond Pro"/>
          <w:sz w:val="18"/>
          <w:szCs w:val="18"/>
          <w:lang w:val="hr-HR"/>
        </w:rPr>
      </w:pPr>
      <w:r w:rsidRPr="00EF67A4">
        <w:rPr>
          <w:rStyle w:val="FootnoteReference"/>
          <w:rFonts w:ascii="Adobe Garamond Pro" w:hAnsi="Adobe Garamond Pro"/>
          <w:sz w:val="18"/>
          <w:szCs w:val="18"/>
          <w:lang w:val="hr-HR"/>
        </w:rPr>
        <w:footnoteRef/>
      </w:r>
      <w:r w:rsidRPr="00EF67A4">
        <w:rPr>
          <w:rFonts w:ascii="Adobe Garamond Pro" w:hAnsi="Adobe Garamond Pro"/>
          <w:sz w:val="18"/>
          <w:szCs w:val="18"/>
          <w:lang w:val="hr-HR"/>
        </w:rPr>
        <w:t>POPOVIĆ, Nela, Politika ljudskih prava Europske Unije: razvoji i izazovi za budućnost, Politička misao, Vol. XLV, br. 3-4, 2008, Str. 167.</w:t>
      </w:r>
    </w:p>
  </w:footnote>
  <w:footnote w:id="32">
    <w:p w:rsidR="00242AD7" w:rsidRPr="00EF67A4" w:rsidRDefault="00242AD7" w:rsidP="00242AD7">
      <w:pPr>
        <w:pStyle w:val="FootnoteText"/>
        <w:jc w:val="both"/>
        <w:rPr>
          <w:rFonts w:ascii="Adobe Garamond Pro" w:hAnsi="Adobe Garamond Pro"/>
          <w:sz w:val="18"/>
          <w:szCs w:val="18"/>
          <w:lang w:val="en-US"/>
        </w:rPr>
      </w:pPr>
      <w:r w:rsidRPr="00EF67A4">
        <w:rPr>
          <w:rStyle w:val="FootnoteReference"/>
          <w:rFonts w:ascii="Adobe Garamond Pro" w:hAnsi="Adobe Garamond Pro"/>
          <w:sz w:val="18"/>
          <w:szCs w:val="18"/>
        </w:rPr>
        <w:footnoteRef/>
      </w:r>
      <w:r w:rsidRPr="00EF67A4">
        <w:rPr>
          <w:rFonts w:ascii="Adobe Garamond Pro" w:hAnsi="Adobe Garamond Pro"/>
          <w:sz w:val="18"/>
          <w:szCs w:val="18"/>
          <w:lang w:val="en-US"/>
        </w:rPr>
        <w:t>Opinion of the Court of 28 March 1996, Accession by the Community to the European Convention for the Protection of Human Rights and Fundamental Freedoms, Opinion 2/94.</w:t>
      </w:r>
    </w:p>
  </w:footnote>
  <w:footnote w:id="33">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TERCHECHTE, Philip Jörg, Konstitutionalisierung und Normativität der europäischen Grundrechte, 2011, Str. 8.</w:t>
      </w:r>
    </w:p>
  </w:footnote>
  <w:footnote w:id="34">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GRABENWARTER, Christoph, Europäische Menschenrechtskonvention, 3. Auflage, 2008, Str. 33.</w:t>
      </w:r>
    </w:p>
  </w:footnote>
  <w:footnote w:id="35">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PACHE, 2009, Str. 124. </w:t>
      </w:r>
    </w:p>
  </w:footnote>
  <w:footnote w:id="36">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lang w:val="hr-HR"/>
        </w:rPr>
        <w:t xml:space="preserve"> Protokol koji se odnosi na članak 6 stavak 2 Ugovora o Europskoj uniji o pristupanju Europskoj konvenciji o ljudskim pravima i temeljnim slobodama, Službeni glasnik Europske unije C 83 od 30.03.2010. godine</w:t>
      </w:r>
    </w:p>
  </w:footnote>
  <w:footnote w:id="37">
    <w:p w:rsidR="00242AD7" w:rsidRPr="00EF67A4" w:rsidRDefault="00242AD7" w:rsidP="00242AD7">
      <w:pPr>
        <w:spacing w:line="240" w:lineRule="auto"/>
        <w:rPr>
          <w:rFonts w:ascii="Adobe Garamond Pro" w:eastAsia="Times New Roman" w:hAnsi="Adobe Garamond Pro" w:cs="Times New Roman"/>
          <w:sz w:val="18"/>
          <w:szCs w:val="18"/>
          <w:lang w:val="en-US" w:eastAsia="de-AT"/>
        </w:rPr>
      </w:pPr>
      <w:r w:rsidRPr="00EF67A4">
        <w:rPr>
          <w:rStyle w:val="FootnoteReference"/>
          <w:rFonts w:ascii="Adobe Garamond Pro" w:hAnsi="Adobe Garamond Pro" w:cs="Times New Roman"/>
          <w:sz w:val="18"/>
          <w:szCs w:val="18"/>
        </w:rPr>
        <w:footnoteRef/>
      </w:r>
      <w:r w:rsidRPr="00EF67A4">
        <w:rPr>
          <w:rFonts w:ascii="Adobe Garamond Pro" w:hAnsi="Adobe Garamond Pro" w:cs="Times New Roman"/>
          <w:sz w:val="18"/>
          <w:szCs w:val="18"/>
          <w:lang w:val="en-US"/>
        </w:rPr>
        <w:t xml:space="preserve">Draft revised agreement on the accession of the European Union to the Convention for the Protection of Human Rights and Fundamental Freedoms, </w:t>
      </w:r>
      <w:r w:rsidRPr="00EF67A4">
        <w:rPr>
          <w:rFonts w:ascii="Adobe Garamond Pro" w:hAnsi="Adobe Garamond Pro" w:cs="Times New Roman"/>
          <w:sz w:val="18"/>
          <w:szCs w:val="18"/>
        </w:rPr>
        <w:t>dostupno n</w:t>
      </w:r>
      <w:r w:rsidRPr="00EF67A4">
        <w:rPr>
          <w:rFonts w:ascii="Adobe Garamond Pro" w:eastAsia="Times New Roman" w:hAnsi="Adobe Garamond Pro" w:cs="Times New Roman"/>
          <w:sz w:val="18"/>
          <w:szCs w:val="18"/>
          <w:lang w:eastAsia="de-AT"/>
        </w:rPr>
        <w:t xml:space="preserve">a: </w:t>
      </w:r>
      <w:hyperlink r:id="rId6" w:history="1">
        <w:r w:rsidRPr="00EF67A4">
          <w:rPr>
            <w:rStyle w:val="Hyperlink"/>
            <w:rFonts w:ascii="Adobe Garamond Pro" w:eastAsia="Times New Roman" w:hAnsi="Adobe Garamond Pro" w:cs="Times New Roman"/>
            <w:color w:val="auto"/>
            <w:sz w:val="18"/>
            <w:szCs w:val="18"/>
            <w:u w:val="none"/>
            <w:lang w:val="en-US" w:eastAsia="de-AT"/>
          </w:rPr>
          <w:t>http://www.coe.int/t/dghl/standardsetting/hrpolicy/Accession/Meeting_reports/47_1%282013%29008rev2_EN.pdf</w:t>
        </w:r>
      </w:hyperlink>
    </w:p>
  </w:footnote>
  <w:footnote w:id="38">
    <w:p w:rsidR="00242AD7" w:rsidRPr="00EF67A4" w:rsidRDefault="00242AD7" w:rsidP="00242AD7">
      <w:pPr>
        <w:pStyle w:val="FootnoteText"/>
        <w:jc w:val="both"/>
        <w:rPr>
          <w:rFonts w:ascii="Adobe Garamond Pro" w:hAnsi="Adobe Garamond Pro"/>
          <w:sz w:val="18"/>
          <w:szCs w:val="18"/>
          <w:lang w:val="en-US"/>
        </w:rPr>
      </w:pPr>
      <w:r w:rsidRPr="00EF67A4">
        <w:rPr>
          <w:rStyle w:val="FootnoteReference"/>
          <w:rFonts w:ascii="Adobe Garamond Pro" w:hAnsi="Adobe Garamond Pro"/>
          <w:sz w:val="18"/>
          <w:szCs w:val="18"/>
          <w:lang w:val="hr-HR"/>
        </w:rPr>
        <w:footnoteRef/>
      </w:r>
      <w:r w:rsidRPr="00EF67A4">
        <w:rPr>
          <w:rFonts w:ascii="Adobe Garamond Pro" w:hAnsi="Adobe Garamond Pro"/>
          <w:sz w:val="18"/>
          <w:szCs w:val="18"/>
          <w:lang w:val="hr-HR"/>
        </w:rPr>
        <w:t>Članak 218 Ugovora o funkcioniranju Europske unije, Službeni glasnik Europske unije C 83 od 30.03.2010. godine</w:t>
      </w:r>
      <w:r w:rsidRPr="00EF67A4">
        <w:rPr>
          <w:rFonts w:ascii="Adobe Garamond Pro" w:hAnsi="Adobe Garamond Pro"/>
          <w:sz w:val="18"/>
          <w:szCs w:val="18"/>
          <w:lang w:val="en-US"/>
        </w:rPr>
        <w:t>.</w:t>
      </w:r>
    </w:p>
  </w:footnote>
  <w:footnote w:id="39">
    <w:p w:rsidR="00242AD7" w:rsidRPr="00EF67A4" w:rsidRDefault="00242AD7" w:rsidP="00242AD7">
      <w:pPr>
        <w:pStyle w:val="FootnoteText"/>
        <w:jc w:val="both"/>
        <w:rPr>
          <w:rFonts w:ascii="Adobe Garamond Pro" w:hAnsi="Adobe Garamond Pro"/>
          <w:sz w:val="18"/>
          <w:szCs w:val="18"/>
          <w:lang w:val="en-US"/>
        </w:rPr>
      </w:pPr>
      <w:r w:rsidRPr="00EF67A4">
        <w:rPr>
          <w:rStyle w:val="FootnoteReference"/>
          <w:rFonts w:ascii="Adobe Garamond Pro" w:hAnsi="Adobe Garamond Pro"/>
          <w:sz w:val="18"/>
          <w:szCs w:val="18"/>
        </w:rPr>
        <w:footnoteRef/>
      </w:r>
      <w:r w:rsidRPr="00EF67A4">
        <w:rPr>
          <w:rFonts w:ascii="Adobe Garamond Pro" w:hAnsi="Adobe Garamond Pro"/>
          <w:sz w:val="18"/>
          <w:szCs w:val="18"/>
          <w:lang w:val="en-US"/>
        </w:rPr>
        <w:t>PACHE, 2009, Str. 127.</w:t>
      </w:r>
    </w:p>
  </w:footnote>
  <w:footnote w:id="40">
    <w:p w:rsidR="00242AD7" w:rsidRPr="00EF67A4" w:rsidRDefault="00242AD7" w:rsidP="00242AD7">
      <w:pPr>
        <w:pStyle w:val="FootnoteText"/>
        <w:jc w:val="both"/>
        <w:rPr>
          <w:rFonts w:ascii="Adobe Garamond Pro" w:hAnsi="Adobe Garamond Pro"/>
          <w:sz w:val="18"/>
          <w:szCs w:val="18"/>
          <w:lang w:val="hr-HR"/>
        </w:rPr>
      </w:pPr>
      <w:r w:rsidRPr="00EF67A4">
        <w:rPr>
          <w:rStyle w:val="FootnoteReference"/>
          <w:rFonts w:ascii="Adobe Garamond Pro" w:hAnsi="Adobe Garamond Pro"/>
          <w:sz w:val="18"/>
          <w:szCs w:val="18"/>
        </w:rPr>
        <w:footnoteRef/>
      </w:r>
      <w:r w:rsidRPr="00EF67A4">
        <w:rPr>
          <w:rFonts w:ascii="Adobe Garamond Pro" w:hAnsi="Adobe Garamond Pro"/>
          <w:sz w:val="18"/>
          <w:szCs w:val="18"/>
          <w:lang w:val="hr-HR"/>
        </w:rPr>
        <w:t xml:space="preserve">Članak 59 stavak 1 Europske konvencije o ljudskim pravima i temeljnim slobodama, dostupno na: </w:t>
      </w:r>
      <w:hyperlink r:id="rId7" w:history="1">
        <w:r w:rsidRPr="00EF67A4">
          <w:rPr>
            <w:rStyle w:val="Hyperlink"/>
            <w:rFonts w:ascii="Adobe Garamond Pro" w:hAnsi="Adobe Garamond Pro"/>
            <w:color w:val="auto"/>
            <w:sz w:val="18"/>
            <w:szCs w:val="18"/>
            <w:u w:val="none"/>
            <w:lang w:val="hr-HR"/>
          </w:rPr>
          <w:t>http://www.echr.coe.int/Documents/Convention_DEU.pdf</w:t>
        </w:r>
      </w:hyperlink>
      <w:r w:rsidRPr="00EF67A4">
        <w:rPr>
          <w:rFonts w:ascii="Adobe Garamond Pro" w:hAnsi="Adobe Garamond Pro"/>
          <w:sz w:val="18"/>
          <w:szCs w:val="18"/>
          <w:lang w:val="hr-HR"/>
        </w:rPr>
        <w:t xml:space="preserve">  i članak 4 Statuta Vijeća Europe, dostupno na: </w:t>
      </w:r>
      <w:hyperlink r:id="rId8" w:history="1">
        <w:r w:rsidRPr="00EF67A4">
          <w:rPr>
            <w:rStyle w:val="Hyperlink"/>
            <w:rFonts w:ascii="Adobe Garamond Pro" w:hAnsi="Adobe Garamond Pro"/>
            <w:color w:val="auto"/>
            <w:sz w:val="18"/>
            <w:szCs w:val="18"/>
            <w:u w:val="none"/>
            <w:lang w:val="hr-HR"/>
          </w:rPr>
          <w:t>http://conventions.coe.int/Treaty/ger/Treaties/Html/001.htm</w:t>
        </w:r>
      </w:hyperlink>
    </w:p>
  </w:footnote>
  <w:footnote w:id="41">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OETER, Stefan, Das Verhaeltnis zwischen EuGH, EGMR und nationalen Verfassungsgerichten, Der Lissabonner Reformvertrag, Aenderungsimpulse in einzelnen Rechts- und Politikbereichen, Hrsg. FASTENRATH, Urlich und  NOWAK, Carsten, 2009, Str. 129. </w:t>
      </w:r>
    </w:p>
  </w:footnote>
  <w:footnote w:id="42">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MAYER, Franz, C., Der Vertrag von Lissabon und die Grundrechte,  Hrsg. SCHWARZE, Jürgen / HATJE, Armin, Europarecht [EuR] Beiheft 1 2009, Der Reformvertrag von Lissabon, Str. 88.</w:t>
      </w:r>
    </w:p>
  </w:footnote>
  <w:footnote w:id="43">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 Članak 6 stavak 2 Ugovora o Europskoj uniji, Prečišćena inačica Ugovora o Europskoj uniji i Ugovora o uspostavljanju Europske zajednice, Službeni glasnik Europske unijeC 321 E/1 od 29.12.2006. godine.</w:t>
      </w:r>
    </w:p>
  </w:footnote>
  <w:footnote w:id="44">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Članak 82-89 Ugovora o funkcioniranju Europske unije, Službeni glasnik Europske unije C 83 od 30.03.2010. godine.</w:t>
      </w:r>
    </w:p>
  </w:footnote>
  <w:footnote w:id="45">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OETER, 2009,  Str. 134-135.</w:t>
      </w:r>
    </w:p>
  </w:footnote>
  <w:footnote w:id="46">
    <w:p w:rsidR="00242AD7" w:rsidRPr="00EF67A4" w:rsidRDefault="00242AD7" w:rsidP="00242AD7">
      <w:pPr>
        <w:pStyle w:val="FootnoteText"/>
        <w:jc w:val="both"/>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 xml:space="preserve">STREINZ, Rudolf/ OHLER, Christoph/ HERRMAN, Christoph, Der Vertrag von Lissabon zur Reform der EU – Einführung mit Synopse, 2. Aufl. 2008,  Str. 97-100. </w:t>
      </w:r>
    </w:p>
  </w:footnote>
  <w:footnote w:id="47">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OETER, 2009, Str. 136.</w:t>
      </w:r>
    </w:p>
  </w:footnote>
  <w:footnote w:id="48">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Članak 19 stavak 1 Ugovora o Europskoj uniji, Službeni glasnik Europske unije C 83 od 30.03.2010. godine.</w:t>
      </w:r>
    </w:p>
  </w:footnote>
  <w:footnote w:id="49">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OETER, 2009, Str. 141.</w:t>
      </w:r>
    </w:p>
  </w:footnote>
  <w:footnote w:id="50">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OETER, 2009, Str. 145.</w:t>
      </w:r>
    </w:p>
  </w:footnote>
  <w:footnote w:id="51">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EuGH, Rs. 25/62, 15. 07.1963.  Plaumann &amp; Co. gegen Kommission der Europaeischen Gemeinschaften.</w:t>
      </w:r>
    </w:p>
  </w:footnote>
  <w:footnote w:id="52">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STREINZ/ OHLER/ HERMAN, 2008, Str. 93-94.</w:t>
      </w:r>
    </w:p>
  </w:footnote>
  <w:footnote w:id="53">
    <w:p w:rsidR="00242AD7" w:rsidRPr="00EF67A4" w:rsidRDefault="00242AD7" w:rsidP="00242AD7">
      <w:pPr>
        <w:pStyle w:val="FootnoteText"/>
        <w:rPr>
          <w:rFonts w:ascii="Adobe Garamond Pro" w:hAnsi="Adobe Garamond Pro"/>
          <w:sz w:val="18"/>
          <w:szCs w:val="18"/>
        </w:rPr>
      </w:pPr>
      <w:r w:rsidRPr="00EF67A4">
        <w:rPr>
          <w:rStyle w:val="FootnoteReference"/>
          <w:rFonts w:ascii="Adobe Garamond Pro" w:hAnsi="Adobe Garamond Pro"/>
          <w:sz w:val="18"/>
          <w:szCs w:val="18"/>
        </w:rPr>
        <w:footnoteRef/>
      </w:r>
      <w:r w:rsidRPr="00EF67A4">
        <w:rPr>
          <w:rFonts w:ascii="Adobe Garamond Pro" w:hAnsi="Adobe Garamond Pro"/>
          <w:sz w:val="18"/>
          <w:szCs w:val="18"/>
        </w:rPr>
        <w:t>PACHE, 2009, Str. 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7A384D"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Sanja Bazina</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7A384D" w:rsidRDefault="007A384D" w:rsidP="007A384D">
    <w:pPr>
      <w:pBdr>
        <w:bottom w:val="single" w:sz="4" w:space="1" w:color="auto"/>
      </w:pBdr>
      <w:spacing w:after="0" w:line="240" w:lineRule="auto"/>
      <w:jc w:val="right"/>
      <w:rPr>
        <w:rFonts w:ascii="Adobe Garamond Pro" w:hAnsi="Adobe Garamond Pro"/>
        <w:sz w:val="20"/>
        <w:szCs w:val="20"/>
      </w:rPr>
    </w:pPr>
    <w:r w:rsidRPr="007A384D">
      <w:rPr>
        <w:rFonts w:ascii="Adobe Garamond Pro" w:hAnsi="Adobe Garamond Pro" w:cs="Times New Roman"/>
        <w:sz w:val="20"/>
        <w:szCs w:val="20"/>
      </w:rPr>
      <w:t>Zaštita temeljnih prava u europskoj uniji nakon stupanja na snagu lisabonskog ugovora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361CCF"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7A384D">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FF280B" w:rsidRPr="007A384D" w:rsidRDefault="007A384D" w:rsidP="00D85967">
    <w:pPr>
      <w:pStyle w:val="Header"/>
      <w:jc w:val="right"/>
      <w:rPr>
        <w:rFonts w:ascii="Adobe Garamond Pro" w:hAnsi="Adobe Garamond Pro"/>
        <w:sz w:val="20"/>
        <w:szCs w:val="20"/>
      </w:rPr>
    </w:pPr>
    <w:r w:rsidRPr="007A384D">
      <w:rPr>
        <w:rFonts w:ascii="Adobe Garamond Pro" w:hAnsi="Adobe Garamond Pro" w:cs="Times New Roman"/>
        <w:sz w:val="20"/>
        <w:szCs w:val="20"/>
      </w:rPr>
      <w:t>UDK 342.7(061.1EU)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136"/>
    <w:multiLevelType w:val="hybridMultilevel"/>
    <w:tmpl w:val="0574727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3">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76B5FA2"/>
    <w:multiLevelType w:val="hybridMultilevel"/>
    <w:tmpl w:val="2984377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3">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3"/>
  </w:num>
  <w:num w:numId="3">
    <w:abstractNumId w:val="28"/>
  </w:num>
  <w:num w:numId="4">
    <w:abstractNumId w:val="10"/>
  </w:num>
  <w:num w:numId="5">
    <w:abstractNumId w:val="30"/>
  </w:num>
  <w:num w:numId="6">
    <w:abstractNumId w:val="4"/>
  </w:num>
  <w:num w:numId="7">
    <w:abstractNumId w:val="8"/>
  </w:num>
  <w:num w:numId="8">
    <w:abstractNumId w:val="14"/>
  </w:num>
  <w:num w:numId="9">
    <w:abstractNumId w:val="17"/>
  </w:num>
  <w:num w:numId="10">
    <w:abstractNumId w:val="11"/>
  </w:num>
  <w:num w:numId="11">
    <w:abstractNumId w:val="6"/>
  </w:num>
  <w:num w:numId="12">
    <w:abstractNumId w:val="13"/>
  </w:num>
  <w:num w:numId="13">
    <w:abstractNumId w:val="31"/>
  </w:num>
  <w:num w:numId="14">
    <w:abstractNumId w:val="5"/>
  </w:num>
  <w:num w:numId="15">
    <w:abstractNumId w:val="2"/>
  </w:num>
  <w:num w:numId="16">
    <w:abstractNumId w:val="7"/>
  </w:num>
  <w:num w:numId="17">
    <w:abstractNumId w:val="9"/>
  </w:num>
  <w:num w:numId="18">
    <w:abstractNumId w:val="20"/>
  </w:num>
  <w:num w:numId="19">
    <w:abstractNumId w:val="16"/>
  </w:num>
  <w:num w:numId="20">
    <w:abstractNumId w:val="15"/>
  </w:num>
  <w:num w:numId="21">
    <w:abstractNumId w:val="27"/>
  </w:num>
  <w:num w:numId="22">
    <w:abstractNumId w:val="1"/>
  </w:num>
  <w:num w:numId="23">
    <w:abstractNumId w:val="34"/>
  </w:num>
  <w:num w:numId="24">
    <w:abstractNumId w:val="19"/>
  </w:num>
  <w:num w:numId="25">
    <w:abstractNumId w:val="18"/>
  </w:num>
  <w:num w:numId="26">
    <w:abstractNumId w:val="29"/>
  </w:num>
  <w:num w:numId="27">
    <w:abstractNumId w:val="32"/>
  </w:num>
  <w:num w:numId="28">
    <w:abstractNumId w:val="26"/>
  </w:num>
  <w:num w:numId="29">
    <w:abstractNumId w:val="35"/>
  </w:num>
  <w:num w:numId="30">
    <w:abstractNumId w:val="22"/>
  </w:num>
  <w:num w:numId="31">
    <w:abstractNumId w:val="23"/>
  </w:num>
  <w:num w:numId="32">
    <w:abstractNumId w:val="25"/>
  </w:num>
  <w:num w:numId="33">
    <w:abstractNumId w:val="12"/>
  </w:num>
  <w:num w:numId="34">
    <w:abstractNumId w:val="33"/>
  </w:num>
  <w:num w:numId="35">
    <w:abstractNumId w:val="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45410">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11022A"/>
    <w:rsid w:val="00115821"/>
    <w:rsid w:val="00120375"/>
    <w:rsid w:val="001374C4"/>
    <w:rsid w:val="00144A6F"/>
    <w:rsid w:val="001654CE"/>
    <w:rsid w:val="0016554A"/>
    <w:rsid w:val="00170728"/>
    <w:rsid w:val="001959A4"/>
    <w:rsid w:val="001A4B4E"/>
    <w:rsid w:val="001B0A65"/>
    <w:rsid w:val="001C6DC9"/>
    <w:rsid w:val="001D4039"/>
    <w:rsid w:val="001F0AD6"/>
    <w:rsid w:val="002002DE"/>
    <w:rsid w:val="00205247"/>
    <w:rsid w:val="0023078B"/>
    <w:rsid w:val="00230AB1"/>
    <w:rsid w:val="00242AD7"/>
    <w:rsid w:val="0024323B"/>
    <w:rsid w:val="00260E15"/>
    <w:rsid w:val="00264C3A"/>
    <w:rsid w:val="002675B4"/>
    <w:rsid w:val="002715B8"/>
    <w:rsid w:val="002A04A4"/>
    <w:rsid w:val="002A4A58"/>
    <w:rsid w:val="002D2430"/>
    <w:rsid w:val="002D542C"/>
    <w:rsid w:val="002D5F3F"/>
    <w:rsid w:val="002D6E37"/>
    <w:rsid w:val="00306F6C"/>
    <w:rsid w:val="00323B9C"/>
    <w:rsid w:val="003328EE"/>
    <w:rsid w:val="00346C37"/>
    <w:rsid w:val="00351FA0"/>
    <w:rsid w:val="003619F7"/>
    <w:rsid w:val="00361CCF"/>
    <w:rsid w:val="00373213"/>
    <w:rsid w:val="003811A8"/>
    <w:rsid w:val="00394B5C"/>
    <w:rsid w:val="003B1F07"/>
    <w:rsid w:val="003B4EB9"/>
    <w:rsid w:val="003D5794"/>
    <w:rsid w:val="003F7405"/>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4603D"/>
    <w:rsid w:val="00747375"/>
    <w:rsid w:val="00780596"/>
    <w:rsid w:val="00783CA1"/>
    <w:rsid w:val="007933BA"/>
    <w:rsid w:val="007A384D"/>
    <w:rsid w:val="007A561A"/>
    <w:rsid w:val="007B3197"/>
    <w:rsid w:val="007B7B96"/>
    <w:rsid w:val="007C24B3"/>
    <w:rsid w:val="007D053A"/>
    <w:rsid w:val="007D1016"/>
    <w:rsid w:val="007D6BA9"/>
    <w:rsid w:val="007E3554"/>
    <w:rsid w:val="0081074D"/>
    <w:rsid w:val="00815E51"/>
    <w:rsid w:val="008225F3"/>
    <w:rsid w:val="008358CA"/>
    <w:rsid w:val="00850431"/>
    <w:rsid w:val="00860F7D"/>
    <w:rsid w:val="00861C82"/>
    <w:rsid w:val="00866181"/>
    <w:rsid w:val="008747C4"/>
    <w:rsid w:val="008945B7"/>
    <w:rsid w:val="008A1803"/>
    <w:rsid w:val="008B1D50"/>
    <w:rsid w:val="008C4302"/>
    <w:rsid w:val="009063AF"/>
    <w:rsid w:val="00932021"/>
    <w:rsid w:val="009469F4"/>
    <w:rsid w:val="00946D5B"/>
    <w:rsid w:val="009548B8"/>
    <w:rsid w:val="00970A7F"/>
    <w:rsid w:val="00977EC3"/>
    <w:rsid w:val="00977F0F"/>
    <w:rsid w:val="009866B4"/>
    <w:rsid w:val="0099111C"/>
    <w:rsid w:val="00994CB2"/>
    <w:rsid w:val="00996510"/>
    <w:rsid w:val="009D12E0"/>
    <w:rsid w:val="009E3956"/>
    <w:rsid w:val="009F2705"/>
    <w:rsid w:val="009F6487"/>
    <w:rsid w:val="00A14817"/>
    <w:rsid w:val="00A367B3"/>
    <w:rsid w:val="00A40D8E"/>
    <w:rsid w:val="00A458A5"/>
    <w:rsid w:val="00A54D12"/>
    <w:rsid w:val="00A72A73"/>
    <w:rsid w:val="00A73AFF"/>
    <w:rsid w:val="00A76D41"/>
    <w:rsid w:val="00A83BDB"/>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543C"/>
    <w:rsid w:val="00BD0D1C"/>
    <w:rsid w:val="00BD4C8D"/>
    <w:rsid w:val="00BE7F6D"/>
    <w:rsid w:val="00BF0675"/>
    <w:rsid w:val="00BF5820"/>
    <w:rsid w:val="00BF5AC4"/>
    <w:rsid w:val="00C3459A"/>
    <w:rsid w:val="00C35FC7"/>
    <w:rsid w:val="00C36995"/>
    <w:rsid w:val="00C608B0"/>
    <w:rsid w:val="00C60D7F"/>
    <w:rsid w:val="00C91AFD"/>
    <w:rsid w:val="00CB5B2F"/>
    <w:rsid w:val="00CD34F5"/>
    <w:rsid w:val="00CD4D07"/>
    <w:rsid w:val="00D02705"/>
    <w:rsid w:val="00D106B5"/>
    <w:rsid w:val="00D12AEB"/>
    <w:rsid w:val="00D13677"/>
    <w:rsid w:val="00D17A92"/>
    <w:rsid w:val="00D26A97"/>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7A4"/>
    <w:rsid w:val="00EF689E"/>
    <w:rsid w:val="00F03719"/>
    <w:rsid w:val="00F22211"/>
    <w:rsid w:val="00F471AB"/>
    <w:rsid w:val="00F81670"/>
    <w:rsid w:val="00F877C3"/>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454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t/dghl/standardsetting/hrpolicy/Accession/Meeting_reports/47_1%282013%29008rev2_EN.pdf" TargetMode="External"/><Relationship Id="rId13" Type="http://schemas.openxmlformats.org/officeDocument/2006/relationships/hyperlink" Target="http://conventions.coe.int/Treaty/ger/Treaties/Html/001.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pbt.bundestag.de/dip21/btd/15/049/150490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poslovna.hr/public/povelja-zajednice-o-osnovnim-socijalnim-pravima-radnika/2182/zakoni.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e.int/t/dghl/monitoring/socialcharter/presentation/escrbooklet/Croatia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chr.coe.int/Documents/Convention_DEU.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conventions.coe.int/Treaty/ger/Treaties/Html/001.htm" TargetMode="External"/><Relationship Id="rId3" Type="http://schemas.openxmlformats.org/officeDocument/2006/relationships/hyperlink" Target="http://www.coe.int/t/dghl/monitoring/socialcharter/presentation/escrbooklet/Croatian.pdf" TargetMode="External"/><Relationship Id="rId7" Type="http://schemas.openxmlformats.org/officeDocument/2006/relationships/hyperlink" Target="http://www.echr.coe.int/Documents/Convention_DEU.pdf" TargetMode="External"/><Relationship Id="rId2" Type="http://schemas.openxmlformats.org/officeDocument/2006/relationships/hyperlink" Target="http://dipbt.bundestag.de/dip21/btd/15/049/1504900.pdf" TargetMode="External"/><Relationship Id="rId1" Type="http://schemas.openxmlformats.org/officeDocument/2006/relationships/hyperlink" Target="mailto:sanja.bazina@dei.gov.ba" TargetMode="External"/><Relationship Id="rId6" Type="http://schemas.openxmlformats.org/officeDocument/2006/relationships/hyperlink" Target="http://www.coe.int/t/dghl/standardsetting/hrpolicy/Accession/Meeting_reports/47_1%282013%29008rev2_EN.pdf" TargetMode="External"/><Relationship Id="rId5" Type="http://schemas.openxmlformats.org/officeDocument/2006/relationships/hyperlink" Target="http://aei.pitt.edu/6356/" TargetMode="External"/><Relationship Id="rId4" Type="http://schemas.openxmlformats.org/officeDocument/2006/relationships/hyperlink" Target="http://zakon.poslovna.hr/public/povelja-zajednice-o-osnovnim-socijalnim-pravima-radnika/2182/zakon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5087</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33</cp:revision>
  <dcterms:created xsi:type="dcterms:W3CDTF">2014-04-10T20:22:00Z</dcterms:created>
  <dcterms:modified xsi:type="dcterms:W3CDTF">2014-04-30T12:10:00Z</dcterms:modified>
</cp:coreProperties>
</file>