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50AB3" w14:textId="77777777" w:rsidR="00420112" w:rsidRPr="003E3DFC" w:rsidRDefault="00420112" w:rsidP="00420112">
      <w:pPr>
        <w:pStyle w:val="NoSpacing"/>
        <w:jc w:val="center"/>
        <w:rPr>
          <w:lang w:val="en-GB"/>
        </w:rPr>
      </w:pPr>
      <w:r w:rsidRPr="003E3DFC">
        <w:rPr>
          <w:b/>
          <w:sz w:val="28"/>
          <w:szCs w:val="32"/>
          <w:lang w:val="en-GB"/>
        </w:rPr>
        <w:t>Trends and Challenges of Female Unemployment in the Republic of Macedonia: A Regional Comparative Study</w:t>
      </w:r>
    </w:p>
    <w:p w14:paraId="2178317F" w14:textId="77777777" w:rsidR="00420112" w:rsidRPr="003E3DFC" w:rsidRDefault="00420112" w:rsidP="0017415C">
      <w:pPr>
        <w:pStyle w:val="NoSpacing"/>
        <w:rPr>
          <w:lang w:val="en-GB"/>
        </w:rPr>
      </w:pPr>
    </w:p>
    <w:p w14:paraId="3FB9DBF1" w14:textId="77777777" w:rsidR="00EE5C21" w:rsidRPr="003E3DFC" w:rsidRDefault="00EE5C21" w:rsidP="00EE5C21">
      <w:pPr>
        <w:pStyle w:val="NoSpacing"/>
        <w:jc w:val="center"/>
        <w:rPr>
          <w:b/>
          <w:szCs w:val="24"/>
          <w:lang w:val="en-GB"/>
        </w:rPr>
      </w:pPr>
    </w:p>
    <w:p w14:paraId="370A5F50" w14:textId="77777777" w:rsidR="00EE5C21" w:rsidRPr="003E3DFC" w:rsidRDefault="00EE5C21" w:rsidP="00EE5C21">
      <w:pPr>
        <w:pStyle w:val="NoSpacing"/>
        <w:jc w:val="center"/>
        <w:rPr>
          <w:b/>
          <w:szCs w:val="24"/>
          <w:lang w:val="en-GB"/>
        </w:rPr>
      </w:pPr>
      <w:r w:rsidRPr="003E3DFC">
        <w:rPr>
          <w:b/>
          <w:szCs w:val="24"/>
          <w:lang w:val="en-GB"/>
        </w:rPr>
        <w:t>Remzije Rakipi</w:t>
      </w:r>
    </w:p>
    <w:p w14:paraId="23F75BDA" w14:textId="77777777" w:rsidR="00EE5C21" w:rsidRPr="003E3DFC" w:rsidRDefault="00EE5C21" w:rsidP="00EE5C21">
      <w:pPr>
        <w:pStyle w:val="NoSpacing"/>
        <w:rPr>
          <w:szCs w:val="24"/>
          <w:lang w:val="en-GB"/>
        </w:rPr>
      </w:pPr>
    </w:p>
    <w:p w14:paraId="79E96F66" w14:textId="77777777" w:rsidR="00EE5C21" w:rsidRPr="003E3DFC" w:rsidRDefault="00EE5C21" w:rsidP="00EE5C21">
      <w:pPr>
        <w:pStyle w:val="NoSpacing"/>
        <w:jc w:val="center"/>
        <w:rPr>
          <w:szCs w:val="24"/>
          <w:lang w:val="en-GB"/>
        </w:rPr>
      </w:pPr>
      <w:r w:rsidRPr="003E3DFC">
        <w:rPr>
          <w:szCs w:val="24"/>
          <w:lang w:val="en-GB"/>
        </w:rPr>
        <w:t>Faculty of Business and Economics</w:t>
      </w:r>
    </w:p>
    <w:p w14:paraId="0B639A63" w14:textId="77777777" w:rsidR="00EE5C21" w:rsidRPr="003E3DFC" w:rsidRDefault="00EE5C21" w:rsidP="00EE5C21">
      <w:pPr>
        <w:pStyle w:val="NoSpacing"/>
        <w:jc w:val="center"/>
        <w:rPr>
          <w:szCs w:val="24"/>
          <w:lang w:val="en-GB"/>
        </w:rPr>
      </w:pPr>
      <w:r w:rsidRPr="003E3DFC">
        <w:rPr>
          <w:szCs w:val="24"/>
          <w:lang w:val="en-GB"/>
        </w:rPr>
        <w:t>South East European University in Tetovo</w:t>
      </w:r>
    </w:p>
    <w:p w14:paraId="07268509" w14:textId="77777777" w:rsidR="00EE5C21" w:rsidRPr="003E3DFC" w:rsidRDefault="00EE5C21" w:rsidP="00EE5C21">
      <w:pPr>
        <w:pStyle w:val="NoSpacing"/>
        <w:jc w:val="center"/>
        <w:rPr>
          <w:szCs w:val="24"/>
          <w:lang w:val="en-GB"/>
        </w:rPr>
      </w:pPr>
      <w:r w:rsidRPr="003E3DFC">
        <w:rPr>
          <w:szCs w:val="24"/>
          <w:lang w:val="en-GB"/>
        </w:rPr>
        <w:t>Republic of Macedonia</w:t>
      </w:r>
    </w:p>
    <w:p w14:paraId="6BCA5F2B" w14:textId="77777777" w:rsidR="00EE5C21" w:rsidRPr="003E3DFC" w:rsidRDefault="00EE5C21" w:rsidP="00EE5C21">
      <w:pPr>
        <w:pStyle w:val="NoSpacing"/>
        <w:rPr>
          <w:lang w:val="en-GB"/>
        </w:rPr>
      </w:pPr>
    </w:p>
    <w:p w14:paraId="4DB1D79A" w14:textId="77777777" w:rsidR="00EE5C21" w:rsidRPr="003E3DFC" w:rsidRDefault="00EE5C21" w:rsidP="00EE5C21">
      <w:pPr>
        <w:pStyle w:val="NoSpacing"/>
        <w:jc w:val="center"/>
        <w:rPr>
          <w:i/>
          <w:szCs w:val="24"/>
          <w:lang w:val="en-GB"/>
        </w:rPr>
      </w:pPr>
      <w:r w:rsidRPr="003E3DFC">
        <w:rPr>
          <w:i/>
          <w:szCs w:val="24"/>
          <w:lang w:val="en-GB"/>
        </w:rPr>
        <w:t>Email: r.rakipi@seeu.edu.mk</w:t>
      </w:r>
    </w:p>
    <w:p w14:paraId="3AA906D6" w14:textId="77777777" w:rsidR="00EE5C21" w:rsidRPr="003E3DFC" w:rsidRDefault="00EE5C21" w:rsidP="007F3819">
      <w:pPr>
        <w:pStyle w:val="NoSpacing"/>
        <w:rPr>
          <w:lang w:val="en-GB"/>
        </w:rPr>
      </w:pPr>
    </w:p>
    <w:p w14:paraId="01781C0F" w14:textId="77777777" w:rsidR="00EE5C21" w:rsidRPr="003E3DFC" w:rsidRDefault="00EE5C21" w:rsidP="00EE5C21">
      <w:pPr>
        <w:pStyle w:val="NoSpacing"/>
        <w:rPr>
          <w:lang w:val="en-GB"/>
        </w:rPr>
      </w:pPr>
    </w:p>
    <w:p w14:paraId="77D91688" w14:textId="22291B74" w:rsidR="00EE5C21" w:rsidRPr="003E3DFC" w:rsidRDefault="00EE5C21" w:rsidP="00EE5C21">
      <w:pPr>
        <w:pStyle w:val="NoSpacing"/>
        <w:jc w:val="center"/>
        <w:rPr>
          <w:b/>
          <w:szCs w:val="24"/>
          <w:lang w:val="en-GB"/>
        </w:rPr>
      </w:pPr>
      <w:r w:rsidRPr="003E3DFC">
        <w:rPr>
          <w:b/>
          <w:szCs w:val="24"/>
          <w:lang w:val="en-GB"/>
        </w:rPr>
        <w:t>Shpres</w:t>
      </w:r>
      <w:r w:rsidR="00F757CB" w:rsidRPr="003E3DFC">
        <w:rPr>
          <w:b/>
          <w:szCs w:val="24"/>
          <w:lang w:val="en-GB"/>
        </w:rPr>
        <w:t>a Syla</w:t>
      </w:r>
    </w:p>
    <w:p w14:paraId="5E424A41" w14:textId="77777777" w:rsidR="00EE5C21" w:rsidRPr="003E3DFC" w:rsidRDefault="00EE5C21" w:rsidP="00EE5C21">
      <w:pPr>
        <w:pStyle w:val="NoSpacing"/>
        <w:rPr>
          <w:lang w:val="en-GB"/>
        </w:rPr>
      </w:pPr>
    </w:p>
    <w:p w14:paraId="302785BE" w14:textId="77777777" w:rsidR="00EE5C21" w:rsidRPr="003E3DFC" w:rsidRDefault="00EE5C21" w:rsidP="00EE5C21">
      <w:pPr>
        <w:pStyle w:val="NoSpacing"/>
        <w:jc w:val="center"/>
        <w:rPr>
          <w:szCs w:val="24"/>
          <w:lang w:val="en-GB"/>
        </w:rPr>
      </w:pPr>
      <w:r w:rsidRPr="003E3DFC">
        <w:rPr>
          <w:szCs w:val="24"/>
          <w:lang w:val="en-GB"/>
        </w:rPr>
        <w:t>Faculty of Business and Economics</w:t>
      </w:r>
    </w:p>
    <w:p w14:paraId="7742939A" w14:textId="77777777" w:rsidR="00EE5C21" w:rsidRPr="003E3DFC" w:rsidRDefault="00EE5C21" w:rsidP="00EE5C21">
      <w:pPr>
        <w:pStyle w:val="NoSpacing"/>
        <w:jc w:val="center"/>
        <w:rPr>
          <w:szCs w:val="24"/>
          <w:lang w:val="en-GB"/>
        </w:rPr>
      </w:pPr>
      <w:r w:rsidRPr="003E3DFC">
        <w:rPr>
          <w:szCs w:val="24"/>
          <w:lang w:val="en-GB"/>
        </w:rPr>
        <w:t>South East European University in Tetovo</w:t>
      </w:r>
    </w:p>
    <w:p w14:paraId="50256305" w14:textId="77777777" w:rsidR="00EE5C21" w:rsidRPr="003E3DFC" w:rsidRDefault="00EE5C21" w:rsidP="00EE5C21">
      <w:pPr>
        <w:pStyle w:val="NoSpacing"/>
        <w:jc w:val="center"/>
        <w:rPr>
          <w:szCs w:val="24"/>
          <w:lang w:val="en-GB"/>
        </w:rPr>
      </w:pPr>
      <w:r w:rsidRPr="003E3DFC">
        <w:rPr>
          <w:szCs w:val="24"/>
          <w:lang w:val="en-GB"/>
        </w:rPr>
        <w:t>Republic of Macedonia</w:t>
      </w:r>
    </w:p>
    <w:p w14:paraId="45549C32" w14:textId="77777777" w:rsidR="00EE5C21" w:rsidRPr="003E3DFC" w:rsidRDefault="00EE5C21" w:rsidP="00EE5C21">
      <w:pPr>
        <w:pStyle w:val="NoSpacing"/>
        <w:jc w:val="center"/>
        <w:rPr>
          <w:szCs w:val="24"/>
          <w:lang w:val="en-GB"/>
        </w:rPr>
      </w:pPr>
    </w:p>
    <w:p w14:paraId="59F8FAC9" w14:textId="5A51AAF7" w:rsidR="00EE5C21" w:rsidRPr="003E3DFC" w:rsidRDefault="003E3DFC" w:rsidP="00EE5C21">
      <w:pPr>
        <w:pStyle w:val="NoSpacing"/>
        <w:jc w:val="center"/>
        <w:rPr>
          <w:i/>
          <w:szCs w:val="24"/>
          <w:lang w:val="en-GB"/>
        </w:rPr>
      </w:pPr>
      <w:r w:rsidRPr="003E3DFC">
        <w:rPr>
          <w:i/>
          <w:szCs w:val="24"/>
          <w:lang w:val="en-GB"/>
        </w:rPr>
        <w:t>Email: s.syla</w:t>
      </w:r>
      <w:r w:rsidR="00EE5C21" w:rsidRPr="003E3DFC">
        <w:rPr>
          <w:i/>
          <w:szCs w:val="24"/>
          <w:lang w:val="en-GB"/>
        </w:rPr>
        <w:t>@seeu.edu.mk</w:t>
      </w:r>
    </w:p>
    <w:p w14:paraId="1B0F9F05" w14:textId="77777777" w:rsidR="00420112" w:rsidRPr="003E3DFC" w:rsidRDefault="00420112" w:rsidP="00420112">
      <w:pPr>
        <w:pStyle w:val="NoSpacing"/>
        <w:rPr>
          <w:lang w:val="en-GB"/>
        </w:rPr>
      </w:pPr>
    </w:p>
    <w:p w14:paraId="30353989" w14:textId="77777777" w:rsidR="00D31014" w:rsidRPr="003E3DFC" w:rsidRDefault="00D31014" w:rsidP="0017415C">
      <w:pPr>
        <w:pStyle w:val="NoSpacing"/>
        <w:rPr>
          <w:lang w:val="en-GB"/>
        </w:rPr>
      </w:pPr>
    </w:p>
    <w:p w14:paraId="0A228D14" w14:textId="77777777" w:rsidR="00A67772" w:rsidRPr="003E3DFC" w:rsidRDefault="000D36C2" w:rsidP="00420112">
      <w:pPr>
        <w:autoSpaceDE w:val="0"/>
        <w:autoSpaceDN w:val="0"/>
        <w:adjustRightInd w:val="0"/>
        <w:spacing w:after="0"/>
        <w:rPr>
          <w:i/>
          <w:sz w:val="22"/>
        </w:rPr>
      </w:pPr>
      <w:r w:rsidRPr="003E3DFC">
        <w:rPr>
          <w:b/>
          <w:i/>
          <w:sz w:val="22"/>
        </w:rPr>
        <w:t>Abstract:</w:t>
      </w:r>
      <w:r w:rsidRPr="003E3DFC">
        <w:rPr>
          <w:i/>
          <w:sz w:val="22"/>
        </w:rPr>
        <w:t xml:space="preserve"> </w:t>
      </w:r>
      <w:r w:rsidR="00420112" w:rsidRPr="003E3DFC">
        <w:rPr>
          <w:i/>
          <w:sz w:val="22"/>
        </w:rPr>
        <w:t xml:space="preserve">The Republic of Macedonia has since its independence made great progress in terms of economic </w:t>
      </w:r>
      <w:r w:rsidR="00A67772" w:rsidRPr="003E3DFC">
        <w:rPr>
          <w:i/>
          <w:sz w:val="22"/>
        </w:rPr>
        <w:t xml:space="preserve">reform and social development; prompted often by the county’s aspiration to become part of the European Union. </w:t>
      </w:r>
      <w:r w:rsidR="00420112" w:rsidRPr="003E3DFC">
        <w:rPr>
          <w:i/>
          <w:sz w:val="22"/>
        </w:rPr>
        <w:t xml:space="preserve">However, in spite of these advances, weak </w:t>
      </w:r>
      <w:r w:rsidRPr="003E3DFC">
        <w:rPr>
          <w:i/>
          <w:sz w:val="22"/>
        </w:rPr>
        <w:t>labour</w:t>
      </w:r>
      <w:r w:rsidR="00420112" w:rsidRPr="003E3DFC">
        <w:rPr>
          <w:i/>
          <w:sz w:val="22"/>
        </w:rPr>
        <w:t xml:space="preserve"> market indicators in particular among females remains a great concern and a persisting challenge</w:t>
      </w:r>
      <w:r w:rsidRPr="003E3DFC">
        <w:rPr>
          <w:i/>
          <w:sz w:val="22"/>
        </w:rPr>
        <w:t xml:space="preserve"> for the country</w:t>
      </w:r>
      <w:r w:rsidR="00A67772" w:rsidRPr="003E3DFC">
        <w:rPr>
          <w:i/>
          <w:sz w:val="22"/>
        </w:rPr>
        <w:t>.</w:t>
      </w:r>
      <w:r w:rsidRPr="003E3DFC">
        <w:rPr>
          <w:i/>
          <w:sz w:val="22"/>
        </w:rPr>
        <w:t xml:space="preserve"> </w:t>
      </w:r>
    </w:p>
    <w:p w14:paraId="7117CBF3" w14:textId="77777777" w:rsidR="00A67772" w:rsidRPr="003E3DFC" w:rsidRDefault="00A67772" w:rsidP="00420112">
      <w:pPr>
        <w:autoSpaceDE w:val="0"/>
        <w:autoSpaceDN w:val="0"/>
        <w:adjustRightInd w:val="0"/>
        <w:spacing w:after="0"/>
        <w:rPr>
          <w:i/>
          <w:sz w:val="22"/>
        </w:rPr>
      </w:pPr>
    </w:p>
    <w:p w14:paraId="15753CC3" w14:textId="1F3A5506" w:rsidR="00D31014" w:rsidRPr="003E3DFC" w:rsidRDefault="00A67772" w:rsidP="00420112">
      <w:pPr>
        <w:autoSpaceDE w:val="0"/>
        <w:autoSpaceDN w:val="0"/>
        <w:adjustRightInd w:val="0"/>
        <w:spacing w:after="0"/>
        <w:rPr>
          <w:i/>
          <w:sz w:val="22"/>
        </w:rPr>
      </w:pPr>
      <w:r w:rsidRPr="003E3DFC">
        <w:rPr>
          <w:i/>
          <w:sz w:val="22"/>
        </w:rPr>
        <w:t>Based on</w:t>
      </w:r>
      <w:r w:rsidR="00D31014" w:rsidRPr="003E3DFC">
        <w:rPr>
          <w:i/>
          <w:sz w:val="22"/>
        </w:rPr>
        <w:t xml:space="preserve"> official data </w:t>
      </w:r>
      <w:r w:rsidR="00420112" w:rsidRPr="003E3DFC">
        <w:rPr>
          <w:i/>
          <w:sz w:val="22"/>
        </w:rPr>
        <w:t>from the Labour Force Survey (LFS) conducted by the State Statistical Office (SSO) for the cas</w:t>
      </w:r>
      <w:r w:rsidR="0017415C" w:rsidRPr="003E3DFC">
        <w:rPr>
          <w:i/>
          <w:sz w:val="22"/>
        </w:rPr>
        <w:t>e of the Republic of Macedonia,</w:t>
      </w:r>
      <w:r w:rsidR="00E43576" w:rsidRPr="003E3DFC">
        <w:rPr>
          <w:i/>
          <w:sz w:val="22"/>
        </w:rPr>
        <w:t xml:space="preserve"> </w:t>
      </w:r>
      <w:r w:rsidR="00D31014" w:rsidRPr="003E3DFC">
        <w:rPr>
          <w:i/>
          <w:sz w:val="22"/>
        </w:rPr>
        <w:t>the aim of this study is to examine the development of female unemployment in the past decade (2004-2013) in the Republic of Macedonia from a multi-dimensional perspective. This while com</w:t>
      </w:r>
      <w:r w:rsidR="0017415C" w:rsidRPr="003E3DFC">
        <w:rPr>
          <w:i/>
          <w:sz w:val="22"/>
        </w:rPr>
        <w:t xml:space="preserve">paring national trends with </w:t>
      </w:r>
      <w:r w:rsidR="00420112" w:rsidRPr="003E3DFC">
        <w:rPr>
          <w:i/>
          <w:sz w:val="22"/>
        </w:rPr>
        <w:t xml:space="preserve">other Balkan countries </w:t>
      </w:r>
      <w:r w:rsidRPr="003E3DFC">
        <w:rPr>
          <w:i/>
          <w:sz w:val="22"/>
        </w:rPr>
        <w:t xml:space="preserve">already in the EU </w:t>
      </w:r>
      <w:r w:rsidR="00420112" w:rsidRPr="003E3DFC">
        <w:rPr>
          <w:i/>
          <w:sz w:val="22"/>
        </w:rPr>
        <w:t xml:space="preserve">using </w:t>
      </w:r>
      <w:r w:rsidR="0017415C" w:rsidRPr="003E3DFC">
        <w:rPr>
          <w:i/>
          <w:sz w:val="22"/>
        </w:rPr>
        <w:t xml:space="preserve">LFS data provided by </w:t>
      </w:r>
      <w:r w:rsidR="00A9762F" w:rsidRPr="003E3DFC">
        <w:rPr>
          <w:i/>
          <w:sz w:val="22"/>
        </w:rPr>
        <w:t>Eurostat.</w:t>
      </w:r>
    </w:p>
    <w:p w14:paraId="161E9386" w14:textId="77777777" w:rsidR="0072440D" w:rsidRPr="003E3DFC" w:rsidRDefault="0072440D" w:rsidP="00420112">
      <w:pPr>
        <w:autoSpaceDE w:val="0"/>
        <w:autoSpaceDN w:val="0"/>
        <w:adjustRightInd w:val="0"/>
        <w:spacing w:after="0"/>
        <w:rPr>
          <w:i/>
          <w:sz w:val="22"/>
        </w:rPr>
      </w:pPr>
    </w:p>
    <w:p w14:paraId="3A61425B" w14:textId="3A31E1F1" w:rsidR="00E26360" w:rsidRPr="003E3DFC" w:rsidRDefault="00420112" w:rsidP="00420112">
      <w:pPr>
        <w:autoSpaceDE w:val="0"/>
        <w:autoSpaceDN w:val="0"/>
        <w:adjustRightInd w:val="0"/>
        <w:spacing w:after="0"/>
        <w:rPr>
          <w:i/>
          <w:sz w:val="22"/>
        </w:rPr>
      </w:pPr>
      <w:r w:rsidRPr="003E3DFC">
        <w:rPr>
          <w:i/>
          <w:sz w:val="22"/>
        </w:rPr>
        <w:t xml:space="preserve">Findings show that the female unemployment rate in </w:t>
      </w:r>
      <w:r w:rsidR="00A67772" w:rsidRPr="003E3DFC">
        <w:rPr>
          <w:i/>
          <w:sz w:val="22"/>
        </w:rPr>
        <w:t>the R.</w:t>
      </w:r>
      <w:r w:rsidR="00B75819" w:rsidRPr="003E3DFC">
        <w:rPr>
          <w:i/>
          <w:sz w:val="22"/>
        </w:rPr>
        <w:t xml:space="preserve"> </w:t>
      </w:r>
      <w:r w:rsidRPr="003E3DFC">
        <w:rPr>
          <w:i/>
          <w:sz w:val="22"/>
        </w:rPr>
        <w:t>Macedonia is moving in the</w:t>
      </w:r>
      <w:r w:rsidR="00B75819" w:rsidRPr="003E3DFC">
        <w:rPr>
          <w:i/>
          <w:sz w:val="22"/>
        </w:rPr>
        <w:t xml:space="preserve"> right direction with a decreasing trend throughout the observed period with drop</w:t>
      </w:r>
      <w:r w:rsidRPr="003E3DFC">
        <w:rPr>
          <w:i/>
          <w:sz w:val="22"/>
        </w:rPr>
        <w:t xml:space="preserve"> of 8.8 per</w:t>
      </w:r>
      <w:r w:rsidR="00B75819" w:rsidRPr="003E3DFC">
        <w:rPr>
          <w:i/>
          <w:sz w:val="22"/>
        </w:rPr>
        <w:t>cent</w:t>
      </w:r>
      <w:r w:rsidR="00E1519F" w:rsidRPr="003E3DFC">
        <w:rPr>
          <w:i/>
          <w:sz w:val="22"/>
        </w:rPr>
        <w:t xml:space="preserve"> point from 2004 to 2013 (observed at</w:t>
      </w:r>
      <w:r w:rsidRPr="003E3DFC">
        <w:rPr>
          <w:i/>
          <w:sz w:val="22"/>
        </w:rPr>
        <w:t xml:space="preserve"> 29% in 2013</w:t>
      </w:r>
      <w:r w:rsidR="00E1519F" w:rsidRPr="003E3DFC">
        <w:rPr>
          <w:i/>
          <w:sz w:val="22"/>
        </w:rPr>
        <w:t>)</w:t>
      </w:r>
      <w:r w:rsidRPr="003E3DFC">
        <w:rPr>
          <w:i/>
          <w:sz w:val="22"/>
        </w:rPr>
        <w:t xml:space="preserve">. </w:t>
      </w:r>
      <w:r w:rsidR="00E1519F" w:rsidRPr="003E3DFC">
        <w:rPr>
          <w:i/>
          <w:sz w:val="22"/>
        </w:rPr>
        <w:t xml:space="preserve">Compared to Balkan countries in the EU, findings show that the R. </w:t>
      </w:r>
      <w:r w:rsidR="006A57FD" w:rsidRPr="003E3DFC">
        <w:rPr>
          <w:i/>
          <w:sz w:val="22"/>
        </w:rPr>
        <w:t xml:space="preserve">Macedonia has been performing relatively </w:t>
      </w:r>
      <w:r w:rsidR="00E1519F" w:rsidRPr="003E3DFC">
        <w:rPr>
          <w:i/>
          <w:sz w:val="22"/>
        </w:rPr>
        <w:t xml:space="preserve">better than these </w:t>
      </w:r>
      <w:r w:rsidR="006A57FD" w:rsidRPr="003E3DFC">
        <w:rPr>
          <w:i/>
          <w:sz w:val="22"/>
        </w:rPr>
        <w:t>countries, who have all experienced negative fluctuations in female unemployment rates in the observed period with rates at higher levels compared to 2004. Furthermore, t</w:t>
      </w:r>
      <w:r w:rsidRPr="003E3DFC">
        <w:rPr>
          <w:i/>
          <w:sz w:val="22"/>
        </w:rPr>
        <w:t xml:space="preserve">he findings </w:t>
      </w:r>
      <w:r w:rsidR="006A57FD" w:rsidRPr="003E3DFC">
        <w:rPr>
          <w:i/>
          <w:sz w:val="22"/>
        </w:rPr>
        <w:t>show no evidence of inequality between male</w:t>
      </w:r>
      <w:r w:rsidRPr="003E3DFC">
        <w:rPr>
          <w:i/>
          <w:sz w:val="22"/>
        </w:rPr>
        <w:t xml:space="preserve"> and female un</w:t>
      </w:r>
      <w:r w:rsidR="00BF417F" w:rsidRPr="003E3DFC">
        <w:rPr>
          <w:i/>
          <w:sz w:val="22"/>
        </w:rPr>
        <w:t>e</w:t>
      </w:r>
      <w:r w:rsidR="006A57FD" w:rsidRPr="003E3DFC">
        <w:rPr>
          <w:i/>
          <w:sz w:val="22"/>
        </w:rPr>
        <w:t xml:space="preserve">mployment rates in the country, however </w:t>
      </w:r>
      <w:r w:rsidRPr="003E3DFC">
        <w:rPr>
          <w:i/>
          <w:sz w:val="22"/>
        </w:rPr>
        <w:t xml:space="preserve">notable disparities are </w:t>
      </w:r>
      <w:r w:rsidR="00E26360" w:rsidRPr="003E3DFC">
        <w:rPr>
          <w:i/>
          <w:sz w:val="22"/>
        </w:rPr>
        <w:t xml:space="preserve">evident when </w:t>
      </w:r>
      <w:r w:rsidR="006A57FD" w:rsidRPr="003E3DFC">
        <w:rPr>
          <w:i/>
          <w:sz w:val="22"/>
        </w:rPr>
        <w:t>observ</w:t>
      </w:r>
      <w:r w:rsidR="00E26360" w:rsidRPr="003E3DFC">
        <w:rPr>
          <w:i/>
          <w:sz w:val="22"/>
        </w:rPr>
        <w:t>ing unemployment among various age groups and the level of education attainment.</w:t>
      </w:r>
    </w:p>
    <w:p w14:paraId="2E0E476F" w14:textId="77777777" w:rsidR="0072440D" w:rsidRPr="003E3DFC" w:rsidRDefault="0072440D" w:rsidP="00420112">
      <w:pPr>
        <w:autoSpaceDE w:val="0"/>
        <w:autoSpaceDN w:val="0"/>
        <w:adjustRightInd w:val="0"/>
        <w:spacing w:after="0"/>
        <w:rPr>
          <w:i/>
          <w:sz w:val="22"/>
        </w:rPr>
      </w:pPr>
    </w:p>
    <w:p w14:paraId="5E6E792E" w14:textId="77777777" w:rsidR="00420112" w:rsidRPr="003E3DFC" w:rsidRDefault="00420112" w:rsidP="00420112">
      <w:pPr>
        <w:autoSpaceDE w:val="0"/>
        <w:autoSpaceDN w:val="0"/>
        <w:adjustRightInd w:val="0"/>
        <w:spacing w:after="0"/>
        <w:rPr>
          <w:i/>
          <w:sz w:val="22"/>
        </w:rPr>
      </w:pPr>
      <w:r w:rsidRPr="003E3DFC">
        <w:rPr>
          <w:i/>
          <w:sz w:val="22"/>
        </w:rPr>
        <w:t>The paper concludes with clear policy recommendations for boosting female employment to include increasing female access to education and entrepreneuria</w:t>
      </w:r>
      <w:r w:rsidR="0017415C" w:rsidRPr="003E3DFC">
        <w:rPr>
          <w:i/>
          <w:sz w:val="22"/>
        </w:rPr>
        <w:t xml:space="preserve">l programs, increased access to </w:t>
      </w:r>
      <w:r w:rsidRPr="003E3DFC">
        <w:rPr>
          <w:i/>
          <w:sz w:val="22"/>
        </w:rPr>
        <w:t>childcare, etc.</w:t>
      </w:r>
    </w:p>
    <w:p w14:paraId="4F2BC4A2" w14:textId="77777777" w:rsidR="00420112" w:rsidRPr="003E3DFC" w:rsidRDefault="00420112" w:rsidP="00420112">
      <w:pPr>
        <w:autoSpaceDE w:val="0"/>
        <w:autoSpaceDN w:val="0"/>
        <w:adjustRightInd w:val="0"/>
        <w:spacing w:after="0"/>
        <w:rPr>
          <w:sz w:val="22"/>
        </w:rPr>
      </w:pPr>
    </w:p>
    <w:p w14:paraId="5D235C68" w14:textId="77777777" w:rsidR="00420112" w:rsidRPr="003E3DFC" w:rsidRDefault="00420112" w:rsidP="00420112">
      <w:pPr>
        <w:spacing w:after="0"/>
        <w:rPr>
          <w:i/>
          <w:sz w:val="22"/>
        </w:rPr>
      </w:pPr>
      <w:r w:rsidRPr="003E3DFC">
        <w:rPr>
          <w:b/>
          <w:i/>
          <w:sz w:val="22"/>
        </w:rPr>
        <w:t>Keywords:</w:t>
      </w:r>
      <w:r w:rsidRPr="003E3DFC">
        <w:rPr>
          <w:i/>
          <w:sz w:val="22"/>
        </w:rPr>
        <w:t xml:space="preserve"> Labour market, female unemployment; unemployment, employment.</w:t>
      </w:r>
    </w:p>
    <w:p w14:paraId="309CEEA7" w14:textId="77777777" w:rsidR="00420112" w:rsidRPr="003E3DFC" w:rsidRDefault="00420112" w:rsidP="00420112">
      <w:pPr>
        <w:spacing w:after="0"/>
        <w:rPr>
          <w:b/>
          <w:i/>
          <w:sz w:val="22"/>
        </w:rPr>
      </w:pPr>
    </w:p>
    <w:p w14:paraId="0F7C5397" w14:textId="77777777" w:rsidR="00420112" w:rsidRPr="003E3DFC" w:rsidRDefault="00420112" w:rsidP="00420112">
      <w:pPr>
        <w:spacing w:after="0"/>
        <w:rPr>
          <w:i/>
          <w:sz w:val="22"/>
        </w:rPr>
      </w:pPr>
      <w:r w:rsidRPr="003E3DFC">
        <w:rPr>
          <w:b/>
          <w:i/>
          <w:sz w:val="22"/>
        </w:rPr>
        <w:t>JEL:</w:t>
      </w:r>
      <w:r w:rsidRPr="003E3DFC">
        <w:rPr>
          <w:i/>
          <w:sz w:val="22"/>
        </w:rPr>
        <w:t xml:space="preserve"> J01; E24</w:t>
      </w:r>
    </w:p>
    <w:p w14:paraId="2F9F6FF2" w14:textId="642ABF13" w:rsidR="00420112" w:rsidRDefault="00420112" w:rsidP="00F7138B">
      <w:pPr>
        <w:pStyle w:val="Heading1"/>
      </w:pPr>
      <w:r w:rsidRPr="003E3DFC">
        <w:lastRenderedPageBreak/>
        <w:t>Introduction</w:t>
      </w:r>
    </w:p>
    <w:p w14:paraId="616A879B" w14:textId="77777777" w:rsidR="003E3DFC" w:rsidRDefault="003E3DFC" w:rsidP="00900BB1">
      <w:pPr>
        <w:pStyle w:val="NoSpacing"/>
        <w:rPr>
          <w:lang w:val="en-GB"/>
        </w:rPr>
      </w:pPr>
    </w:p>
    <w:p w14:paraId="12965136" w14:textId="4C5F897F" w:rsidR="00F7138B" w:rsidRPr="003E3DFC" w:rsidRDefault="00581BAF" w:rsidP="00900BB1">
      <w:pPr>
        <w:pStyle w:val="NoSpacing"/>
        <w:rPr>
          <w:color w:val="FF0000"/>
          <w:lang w:val="en-GB"/>
        </w:rPr>
      </w:pPr>
      <w:r w:rsidRPr="003E3DFC">
        <w:rPr>
          <w:lang w:val="en-GB"/>
        </w:rPr>
        <w:t xml:space="preserve">Issues related to the </w:t>
      </w:r>
      <w:r w:rsidR="000D36C2" w:rsidRPr="003E3DFC">
        <w:rPr>
          <w:lang w:val="en-GB"/>
        </w:rPr>
        <w:t>labour</w:t>
      </w:r>
      <w:r w:rsidRPr="003E3DFC">
        <w:rPr>
          <w:lang w:val="en-GB"/>
        </w:rPr>
        <w:t xml:space="preserve"> market are the heart of social and political debate in </w:t>
      </w:r>
      <w:r w:rsidR="000D36C2" w:rsidRPr="003E3DFC">
        <w:rPr>
          <w:lang w:val="en-GB"/>
        </w:rPr>
        <w:t xml:space="preserve">the Republic of </w:t>
      </w:r>
      <w:r w:rsidRPr="003E3DFC">
        <w:rPr>
          <w:lang w:val="en-GB"/>
        </w:rPr>
        <w:t>Macedonia</w:t>
      </w:r>
      <w:r w:rsidR="000D36C2" w:rsidRPr="003E3DFC">
        <w:rPr>
          <w:lang w:val="en-GB"/>
        </w:rPr>
        <w:t>. The country has since its independence made great progress in terms of economic reform</w:t>
      </w:r>
      <w:r w:rsidR="00BE6882" w:rsidRPr="003E3DFC">
        <w:rPr>
          <w:lang w:val="en-GB"/>
        </w:rPr>
        <w:t>s</w:t>
      </w:r>
      <w:r w:rsidR="003E3DFC">
        <w:rPr>
          <w:lang w:val="en-GB"/>
        </w:rPr>
        <w:t xml:space="preserve"> and social development. </w:t>
      </w:r>
      <w:r w:rsidR="000D36C2" w:rsidRPr="003E3DFC">
        <w:rPr>
          <w:lang w:val="en-GB"/>
        </w:rPr>
        <w:t>Howev</w:t>
      </w:r>
      <w:r w:rsidR="003E3DFC">
        <w:rPr>
          <w:lang w:val="en-GB"/>
        </w:rPr>
        <w:t xml:space="preserve">er, in spite of these advances, </w:t>
      </w:r>
      <w:r w:rsidR="000D36C2" w:rsidRPr="003E3DFC">
        <w:rPr>
          <w:lang w:val="en-GB"/>
        </w:rPr>
        <w:t>weak labour market indicators in particular among females</w:t>
      </w:r>
      <w:r w:rsidR="00AE2BEE" w:rsidRPr="003E3DFC">
        <w:rPr>
          <w:lang w:val="en-GB"/>
        </w:rPr>
        <w:t xml:space="preserve"> (15-64 years)</w:t>
      </w:r>
      <w:r w:rsidR="00F97D52">
        <w:rPr>
          <w:lang w:val="en-GB"/>
        </w:rPr>
        <w:t xml:space="preserve"> remain</w:t>
      </w:r>
      <w:bookmarkStart w:id="0" w:name="_GoBack"/>
      <w:bookmarkEnd w:id="0"/>
      <w:r w:rsidR="000D36C2" w:rsidRPr="003E3DFC">
        <w:rPr>
          <w:lang w:val="en-GB"/>
        </w:rPr>
        <w:t xml:space="preserve"> a great concern and a persis</w:t>
      </w:r>
      <w:r w:rsidR="003E3DFC">
        <w:rPr>
          <w:lang w:val="en-GB"/>
        </w:rPr>
        <w:t xml:space="preserve">ting challenge for the country. </w:t>
      </w:r>
      <w:r w:rsidR="006E09F5" w:rsidRPr="003E3DFC">
        <w:rPr>
          <w:lang w:val="en-GB"/>
        </w:rPr>
        <w:t xml:space="preserve">High unemployment amongst females is however not a recent phenomenon in the country, nor is the country an exception in this regards. </w:t>
      </w:r>
      <w:r w:rsidR="000C3304" w:rsidRPr="003E3DFC">
        <w:rPr>
          <w:lang w:val="en-GB"/>
        </w:rPr>
        <w:t>As argued by</w:t>
      </w:r>
      <w:r w:rsidR="005F2D1C" w:rsidRPr="003E3DFC">
        <w:rPr>
          <w:lang w:val="en-GB"/>
        </w:rPr>
        <w:t xml:space="preserve"> </w:t>
      </w:r>
      <w:r w:rsidR="000C3304" w:rsidRPr="003E3DFC">
        <w:rPr>
          <w:iCs/>
          <w:color w:val="000000" w:themeColor="text1"/>
          <w:szCs w:val="24"/>
          <w:lang w:val="en-GB"/>
        </w:rPr>
        <w:t xml:space="preserve">Mojsoska-Blazevski, Najdova, Stojkov, and Asenov </w:t>
      </w:r>
      <w:r w:rsidR="005A77B6" w:rsidRPr="003E3DFC">
        <w:rPr>
          <w:color w:val="000000" w:themeColor="text1"/>
          <w:lang w:val="en-GB"/>
        </w:rPr>
        <w:t>(2009</w:t>
      </w:r>
      <w:r w:rsidR="00AE2BEE" w:rsidRPr="003E3DFC">
        <w:rPr>
          <w:color w:val="000000" w:themeColor="text1"/>
          <w:lang w:val="en-GB"/>
        </w:rPr>
        <w:t>)</w:t>
      </w:r>
      <w:r w:rsidR="000C3304" w:rsidRPr="003E3DFC">
        <w:rPr>
          <w:color w:val="000000" w:themeColor="text1"/>
          <w:lang w:val="en-GB"/>
        </w:rPr>
        <w:t>,</w:t>
      </w:r>
      <w:r w:rsidR="00AE2BEE" w:rsidRPr="003E3DFC">
        <w:rPr>
          <w:color w:val="000000" w:themeColor="text1"/>
          <w:lang w:val="en-GB"/>
        </w:rPr>
        <w:t xml:space="preserve"> </w:t>
      </w:r>
      <w:r w:rsidR="005A77B6" w:rsidRPr="003E3DFC">
        <w:rPr>
          <w:color w:val="000000" w:themeColor="text1"/>
          <w:lang w:val="en-GB"/>
        </w:rPr>
        <w:t xml:space="preserve">the labour market in the Republic of </w:t>
      </w:r>
      <w:r w:rsidR="005A77B6" w:rsidRPr="003E3DFC">
        <w:rPr>
          <w:lang w:val="en-GB"/>
        </w:rPr>
        <w:t>Macedonia is consi</w:t>
      </w:r>
      <w:r w:rsidR="00AE2BEE" w:rsidRPr="003E3DFC">
        <w:rPr>
          <w:lang w:val="en-GB"/>
        </w:rPr>
        <w:t xml:space="preserve">dered insufficiently inclusive of females similar to other Western Balkan countries, </w:t>
      </w:r>
      <w:r w:rsidR="005A77B6" w:rsidRPr="003E3DFC">
        <w:rPr>
          <w:lang w:val="en-GB"/>
        </w:rPr>
        <w:t xml:space="preserve">this despite legislation being in place on labour relations, gender equality, anti-discrimination and equal employment opportunities. </w:t>
      </w:r>
      <w:r w:rsidR="00C30864" w:rsidRPr="003E3DFC">
        <w:rPr>
          <w:lang w:val="en-GB"/>
        </w:rPr>
        <w:t>J</w:t>
      </w:r>
      <w:r w:rsidRPr="003E3DFC">
        <w:rPr>
          <w:lang w:val="en-GB"/>
        </w:rPr>
        <w:t>ob creation for the most vulnerable groups in society, and especially women, is a key component in the fight against social exclusion, and the most effective way to provide vulnerable groups</w:t>
      </w:r>
      <w:r w:rsidR="00C30864" w:rsidRPr="003E3DFC">
        <w:rPr>
          <w:lang w:val="en-GB"/>
        </w:rPr>
        <w:t xml:space="preserve"> such as females</w:t>
      </w:r>
      <w:r w:rsidRPr="003E3DFC">
        <w:rPr>
          <w:lang w:val="en-GB"/>
        </w:rPr>
        <w:t xml:space="preserve"> a sense of independence, financial security and a sense of belonging.</w:t>
      </w:r>
      <w:r w:rsidR="00F37EF1" w:rsidRPr="003E3DFC">
        <w:rPr>
          <w:lang w:val="en-GB"/>
        </w:rPr>
        <w:t xml:space="preserve"> </w:t>
      </w:r>
      <w:r w:rsidR="00AE2BEE" w:rsidRPr="003E3DFC">
        <w:rPr>
          <w:lang w:val="en-GB"/>
        </w:rPr>
        <w:t xml:space="preserve">Women </w:t>
      </w:r>
      <w:r w:rsidR="005A77B6" w:rsidRPr="003E3DFC">
        <w:rPr>
          <w:lang w:val="en-GB"/>
        </w:rPr>
        <w:t>represent a category</w:t>
      </w:r>
      <w:r w:rsidR="00AE2BEE" w:rsidRPr="003E3DFC">
        <w:rPr>
          <w:lang w:val="en-GB"/>
        </w:rPr>
        <w:t xml:space="preserve"> in society</w:t>
      </w:r>
      <w:r w:rsidR="005A77B6" w:rsidRPr="003E3DFC">
        <w:rPr>
          <w:lang w:val="en-GB"/>
        </w:rPr>
        <w:t xml:space="preserve"> that is traditionally excluded or underrepresented in the labour market not only due to discrimination an</w:t>
      </w:r>
      <w:r w:rsidR="00DA551E" w:rsidRPr="003E3DFC">
        <w:rPr>
          <w:lang w:val="en-GB"/>
        </w:rPr>
        <w:t>d</w:t>
      </w:r>
      <w:r w:rsidR="005A77B6" w:rsidRPr="003E3DFC">
        <w:rPr>
          <w:lang w:val="en-GB"/>
        </w:rPr>
        <w:t xml:space="preserve"> inequality in the labour market, but </w:t>
      </w:r>
      <w:r w:rsidR="00AE2BEE" w:rsidRPr="003E3DFC">
        <w:rPr>
          <w:lang w:val="en-GB"/>
        </w:rPr>
        <w:t xml:space="preserve">significantly </w:t>
      </w:r>
      <w:r w:rsidR="005A77B6" w:rsidRPr="003E3DFC">
        <w:rPr>
          <w:lang w:val="en-GB"/>
        </w:rPr>
        <w:t>also due the role the</w:t>
      </w:r>
      <w:r w:rsidR="00DA551E" w:rsidRPr="003E3DFC">
        <w:rPr>
          <w:lang w:val="en-GB"/>
        </w:rPr>
        <w:t>y</w:t>
      </w:r>
      <w:r w:rsidR="005A77B6" w:rsidRPr="003E3DFC">
        <w:rPr>
          <w:lang w:val="en-GB"/>
        </w:rPr>
        <w:t xml:space="preserve"> play within the household which ma</w:t>
      </w:r>
      <w:r w:rsidR="00AE2BEE" w:rsidRPr="003E3DFC">
        <w:rPr>
          <w:lang w:val="en-GB"/>
        </w:rPr>
        <w:t>kes it often more difficult for</w:t>
      </w:r>
      <w:r w:rsidR="005A77B6" w:rsidRPr="003E3DFC">
        <w:rPr>
          <w:lang w:val="en-GB"/>
        </w:rPr>
        <w:t xml:space="preserve"> them to enter the job market and pursue careers.</w:t>
      </w:r>
      <w:r w:rsidR="00F7138B" w:rsidRPr="003E3DFC">
        <w:rPr>
          <w:lang w:val="en-GB"/>
        </w:rPr>
        <w:t xml:space="preserve"> In this context, it is the</w:t>
      </w:r>
      <w:r w:rsidR="00DA551E" w:rsidRPr="003E3DFC">
        <w:rPr>
          <w:lang w:val="en-GB"/>
        </w:rPr>
        <w:t xml:space="preserve"> aim of this study</w:t>
      </w:r>
      <w:r w:rsidR="008F5EB2" w:rsidRPr="003E3DFC">
        <w:rPr>
          <w:lang w:val="en-GB"/>
        </w:rPr>
        <w:t xml:space="preserve"> to shed some light on the development </w:t>
      </w:r>
      <w:r w:rsidR="0017415C" w:rsidRPr="003E3DFC">
        <w:rPr>
          <w:lang w:val="en-GB"/>
        </w:rPr>
        <w:t xml:space="preserve">and challenges </w:t>
      </w:r>
      <w:r w:rsidR="008F5EB2" w:rsidRPr="003E3DFC">
        <w:rPr>
          <w:lang w:val="en-GB"/>
        </w:rPr>
        <w:t xml:space="preserve">of </w:t>
      </w:r>
      <w:r w:rsidR="00F7138B" w:rsidRPr="003E3DFC">
        <w:rPr>
          <w:lang w:val="en-GB"/>
        </w:rPr>
        <w:t>female</w:t>
      </w:r>
      <w:r w:rsidR="008F5EB2" w:rsidRPr="003E3DFC">
        <w:rPr>
          <w:lang w:val="en-GB"/>
        </w:rPr>
        <w:t xml:space="preserve"> unemployment in the past decade (2004-2013) in the Republic of Macedonia from a multi-dimensional perspective. This while comparing national trends with </w:t>
      </w:r>
      <w:r w:rsidR="003E3DFC">
        <w:rPr>
          <w:lang w:val="en-GB"/>
        </w:rPr>
        <w:t>trends in other Balk</w:t>
      </w:r>
      <w:r w:rsidR="00F7138B" w:rsidRPr="003E3DFC">
        <w:rPr>
          <w:lang w:val="en-GB"/>
        </w:rPr>
        <w:t>an countries</w:t>
      </w:r>
      <w:r w:rsidR="0038348B" w:rsidRPr="003E3DFC">
        <w:rPr>
          <w:lang w:val="en-GB"/>
        </w:rPr>
        <w:t>,</w:t>
      </w:r>
      <w:r w:rsidR="0072440D" w:rsidRPr="003E3DFC">
        <w:rPr>
          <w:lang w:val="en-GB"/>
        </w:rPr>
        <w:t xml:space="preserve"> more specifically </w:t>
      </w:r>
      <w:r w:rsidR="0038348B" w:rsidRPr="003E3DFC">
        <w:rPr>
          <w:lang w:val="en-GB"/>
        </w:rPr>
        <w:t>with Balkan countries in the European Union</w:t>
      </w:r>
      <w:r w:rsidR="008F5EB2" w:rsidRPr="003E3DFC">
        <w:rPr>
          <w:lang w:val="en-GB"/>
        </w:rPr>
        <w:t xml:space="preserve">. </w:t>
      </w:r>
    </w:p>
    <w:p w14:paraId="2BB6443C" w14:textId="77777777" w:rsidR="00F7138B" w:rsidRPr="003E3DFC" w:rsidRDefault="00F7138B" w:rsidP="00900BB1">
      <w:pPr>
        <w:pStyle w:val="NoSpacing"/>
        <w:rPr>
          <w:lang w:val="en-GB"/>
        </w:rPr>
      </w:pPr>
    </w:p>
    <w:p w14:paraId="466129FC" w14:textId="13F3664C" w:rsidR="005E626A" w:rsidRPr="003E3DFC" w:rsidRDefault="005E626A" w:rsidP="00900BB1">
      <w:pPr>
        <w:pStyle w:val="NoSpacing"/>
        <w:rPr>
          <w:i/>
          <w:lang w:val="en-GB"/>
        </w:rPr>
      </w:pPr>
      <w:r w:rsidRPr="003E3DFC">
        <w:rPr>
          <w:i/>
          <w:lang w:val="en-GB"/>
        </w:rPr>
        <w:t>Literature Review</w:t>
      </w:r>
    </w:p>
    <w:p w14:paraId="09C1577E" w14:textId="77777777" w:rsidR="00AA13D6" w:rsidRPr="003E3DFC" w:rsidRDefault="00AA13D6" w:rsidP="00900BB1">
      <w:pPr>
        <w:pStyle w:val="NoSpacing"/>
        <w:rPr>
          <w:color w:val="FF0000"/>
          <w:lang w:val="en-GB"/>
        </w:rPr>
      </w:pPr>
    </w:p>
    <w:p w14:paraId="03D8A99B" w14:textId="331F32DC" w:rsidR="001E7C1C" w:rsidRPr="003E3DFC" w:rsidRDefault="00002B19" w:rsidP="0057162C">
      <w:pPr>
        <w:autoSpaceDE w:val="0"/>
        <w:autoSpaceDN w:val="0"/>
        <w:adjustRightInd w:val="0"/>
        <w:spacing w:after="0"/>
      </w:pPr>
      <w:r w:rsidRPr="003E3DFC">
        <w:rPr>
          <w:szCs w:val="24"/>
        </w:rPr>
        <w:t>Gen</w:t>
      </w:r>
      <w:r w:rsidR="009D2A4E" w:rsidRPr="003E3DFC">
        <w:rPr>
          <w:szCs w:val="24"/>
        </w:rPr>
        <w:t xml:space="preserve">der based unemployment in general </w:t>
      </w:r>
      <w:r w:rsidRPr="003E3DFC">
        <w:rPr>
          <w:szCs w:val="24"/>
        </w:rPr>
        <w:t>does not p</w:t>
      </w:r>
      <w:r w:rsidR="00B64EAF" w:rsidRPr="003E3DFC">
        <w:rPr>
          <w:szCs w:val="24"/>
        </w:rPr>
        <w:t xml:space="preserve">resent a new or </w:t>
      </w:r>
      <w:r w:rsidR="009D2A4E" w:rsidRPr="003E3DFC">
        <w:rPr>
          <w:szCs w:val="24"/>
        </w:rPr>
        <w:t xml:space="preserve">an </w:t>
      </w:r>
      <w:r w:rsidR="00B64EAF" w:rsidRPr="003E3DFC">
        <w:rPr>
          <w:szCs w:val="24"/>
        </w:rPr>
        <w:t>unexplored area</w:t>
      </w:r>
      <w:r w:rsidR="0069731E" w:rsidRPr="003E3DFC">
        <w:rPr>
          <w:szCs w:val="24"/>
        </w:rPr>
        <w:t>. H</w:t>
      </w:r>
      <w:r w:rsidR="00B64EAF" w:rsidRPr="003E3DFC">
        <w:rPr>
          <w:szCs w:val="24"/>
        </w:rPr>
        <w:t xml:space="preserve">owever not much study exists on this </w:t>
      </w:r>
      <w:r w:rsidR="0069731E" w:rsidRPr="003E3DFC">
        <w:rPr>
          <w:szCs w:val="24"/>
        </w:rPr>
        <w:t xml:space="preserve">particular </w:t>
      </w:r>
      <w:r w:rsidR="00B64EAF" w:rsidRPr="003E3DFC">
        <w:rPr>
          <w:szCs w:val="24"/>
        </w:rPr>
        <w:t>topic</w:t>
      </w:r>
      <w:r w:rsidR="0069731E" w:rsidRPr="003E3DFC">
        <w:rPr>
          <w:szCs w:val="24"/>
        </w:rPr>
        <w:t xml:space="preserve"> that is </w:t>
      </w:r>
      <w:r w:rsidR="009D2A4E" w:rsidRPr="003E3DFC">
        <w:rPr>
          <w:szCs w:val="24"/>
        </w:rPr>
        <w:t xml:space="preserve">specific to the R. of Macedonia. At the least no known studies exist </w:t>
      </w:r>
      <w:r w:rsidR="00FC0C89" w:rsidRPr="003E3DFC">
        <w:rPr>
          <w:szCs w:val="24"/>
        </w:rPr>
        <w:t xml:space="preserve">covering trends in female unemployment </w:t>
      </w:r>
      <w:r w:rsidR="00B64EAF" w:rsidRPr="003E3DFC">
        <w:rPr>
          <w:szCs w:val="24"/>
        </w:rPr>
        <w:t xml:space="preserve">for the observed period </w:t>
      </w:r>
      <w:r w:rsidR="00FC0C89" w:rsidRPr="003E3DFC">
        <w:rPr>
          <w:szCs w:val="24"/>
        </w:rPr>
        <w:t xml:space="preserve">that additionally </w:t>
      </w:r>
      <w:r w:rsidR="00B64EAF" w:rsidRPr="003E3DFC">
        <w:rPr>
          <w:szCs w:val="24"/>
        </w:rPr>
        <w:t>compar</w:t>
      </w:r>
      <w:r w:rsidR="00FC0C89" w:rsidRPr="003E3DFC">
        <w:rPr>
          <w:szCs w:val="24"/>
        </w:rPr>
        <w:t xml:space="preserve">es </w:t>
      </w:r>
      <w:r w:rsidR="0069731E" w:rsidRPr="003E3DFC">
        <w:rPr>
          <w:szCs w:val="24"/>
        </w:rPr>
        <w:t xml:space="preserve">female unemployment </w:t>
      </w:r>
      <w:r w:rsidR="00B64EAF" w:rsidRPr="003E3DFC">
        <w:rPr>
          <w:szCs w:val="24"/>
        </w:rPr>
        <w:t>trends with Balka</w:t>
      </w:r>
      <w:r w:rsidR="0069731E" w:rsidRPr="003E3DFC">
        <w:rPr>
          <w:szCs w:val="24"/>
        </w:rPr>
        <w:t>n countries already in the EU. Available s</w:t>
      </w:r>
      <w:r w:rsidR="00F92335" w:rsidRPr="003E3DFC">
        <w:rPr>
          <w:szCs w:val="24"/>
        </w:rPr>
        <w:t>tudies on</w:t>
      </w:r>
      <w:r w:rsidR="0069731E" w:rsidRPr="003E3DFC">
        <w:rPr>
          <w:szCs w:val="24"/>
        </w:rPr>
        <w:t xml:space="preserve"> female unemployment specific to the R. of Macedonia is predominately found in non-scientific studies and reports (</w:t>
      </w:r>
      <w:r w:rsidR="00CB0CB2" w:rsidRPr="003E3DFC">
        <w:rPr>
          <w:szCs w:val="24"/>
        </w:rPr>
        <w:t>European Training Foundation, 2013;</w:t>
      </w:r>
      <w:r w:rsidR="009D2A4E" w:rsidRPr="003E3DFC">
        <w:rPr>
          <w:szCs w:val="24"/>
        </w:rPr>
        <w:t xml:space="preserve"> United Nations, 2013; Wo</w:t>
      </w:r>
      <w:r w:rsidR="001E7C1C" w:rsidRPr="003E3DFC">
        <w:rPr>
          <w:szCs w:val="24"/>
        </w:rPr>
        <w:t>rld Bank, 2008 and</w:t>
      </w:r>
      <w:r w:rsidR="009D2A4E" w:rsidRPr="003E3DFC">
        <w:rPr>
          <w:szCs w:val="24"/>
        </w:rPr>
        <w:t xml:space="preserve"> 2013</w:t>
      </w:r>
      <w:r w:rsidR="0069731E" w:rsidRPr="003E3DFC">
        <w:rPr>
          <w:szCs w:val="24"/>
        </w:rPr>
        <w:t>)</w:t>
      </w:r>
      <w:r w:rsidR="00F92335" w:rsidRPr="003E3DFC">
        <w:rPr>
          <w:szCs w:val="24"/>
        </w:rPr>
        <w:t xml:space="preserve"> where female unemployment is usually covered lightly as part of a more general studies of labour market indicators in the R. of Macedonia; serving primarily policy making objectives. T</w:t>
      </w:r>
      <w:r w:rsidR="0069731E" w:rsidRPr="003E3DFC">
        <w:rPr>
          <w:szCs w:val="24"/>
        </w:rPr>
        <w:t>he closest scientific research in this field can be attributed</w:t>
      </w:r>
      <w:r w:rsidR="00EE5546" w:rsidRPr="003E3DFC">
        <w:rPr>
          <w:szCs w:val="24"/>
        </w:rPr>
        <w:t xml:space="preserve"> to a few (</w:t>
      </w:r>
      <w:r w:rsidR="002038BA" w:rsidRPr="003E3DFC">
        <w:rPr>
          <w:iCs/>
          <w:szCs w:val="24"/>
        </w:rPr>
        <w:t xml:space="preserve">Mojsoska-Blazevski et al., </w:t>
      </w:r>
      <w:r w:rsidR="002038BA" w:rsidRPr="003E3DFC">
        <w:rPr>
          <w:szCs w:val="24"/>
        </w:rPr>
        <w:t xml:space="preserve">2009; Lehmann, 2010; Mojsoska-Blazevski, 2012; Mojsoska-Blazevski and Kurtishi, 2012; </w:t>
      </w:r>
      <w:r w:rsidR="00EE5546" w:rsidRPr="003E3DFC">
        <w:rPr>
          <w:szCs w:val="24"/>
        </w:rPr>
        <w:t>Avlijaš, Ivanović, Vladisavljević and Vujić, 2013</w:t>
      </w:r>
      <w:r w:rsidR="006F05EC" w:rsidRPr="003E3DFC">
        <w:rPr>
          <w:szCs w:val="24"/>
        </w:rPr>
        <w:t>;</w:t>
      </w:r>
      <w:r w:rsidR="00EE5546" w:rsidRPr="003E3DFC">
        <w:rPr>
          <w:szCs w:val="24"/>
        </w:rPr>
        <w:t xml:space="preserve"> </w:t>
      </w:r>
      <w:r w:rsidR="002145A8" w:rsidRPr="003E3DFC">
        <w:rPr>
          <w:bCs/>
          <w:szCs w:val="24"/>
        </w:rPr>
        <w:t xml:space="preserve">Mickovska-Raleva </w:t>
      </w:r>
      <w:r w:rsidR="002038BA" w:rsidRPr="003E3DFC">
        <w:rPr>
          <w:bCs/>
          <w:szCs w:val="24"/>
        </w:rPr>
        <w:t>and Dimitrijevska, 2013</w:t>
      </w:r>
      <w:r w:rsidR="00EE5546" w:rsidRPr="003E3DFC">
        <w:rPr>
          <w:szCs w:val="24"/>
        </w:rPr>
        <w:t>)</w:t>
      </w:r>
      <w:r w:rsidR="00BC067A" w:rsidRPr="003E3DFC">
        <w:rPr>
          <w:szCs w:val="24"/>
        </w:rPr>
        <w:t xml:space="preserve"> who try at various levels to </w:t>
      </w:r>
      <w:r w:rsidR="00AC5A7F" w:rsidRPr="003E3DFC">
        <w:rPr>
          <w:szCs w:val="24"/>
        </w:rPr>
        <w:t xml:space="preserve">depict a picture of </w:t>
      </w:r>
      <w:r w:rsidR="00BC067A" w:rsidRPr="003E3DFC">
        <w:rPr>
          <w:szCs w:val="24"/>
        </w:rPr>
        <w:t>female unemployment</w:t>
      </w:r>
      <w:r w:rsidR="00AC5A7F" w:rsidRPr="003E3DFC">
        <w:rPr>
          <w:szCs w:val="24"/>
        </w:rPr>
        <w:t xml:space="preserve"> in the R. of Macedonia</w:t>
      </w:r>
      <w:r w:rsidR="00BC067A" w:rsidRPr="003E3DFC">
        <w:rPr>
          <w:szCs w:val="24"/>
        </w:rPr>
        <w:t xml:space="preserve">; sharing the common </w:t>
      </w:r>
      <w:r w:rsidR="00AC5A7F" w:rsidRPr="003E3DFC">
        <w:rPr>
          <w:szCs w:val="24"/>
        </w:rPr>
        <w:t>understanding</w:t>
      </w:r>
      <w:r w:rsidR="00BC067A" w:rsidRPr="003E3DFC">
        <w:rPr>
          <w:szCs w:val="24"/>
        </w:rPr>
        <w:t xml:space="preserve"> that </w:t>
      </w:r>
      <w:r w:rsidR="00BC067A" w:rsidRPr="003E3DFC">
        <w:rPr>
          <w:iCs/>
          <w:szCs w:val="24"/>
        </w:rPr>
        <w:t xml:space="preserve">women in the R. of Macedonia are </w:t>
      </w:r>
      <w:r w:rsidR="00AC5A7F" w:rsidRPr="003E3DFC">
        <w:rPr>
          <w:iCs/>
          <w:szCs w:val="24"/>
        </w:rPr>
        <w:t xml:space="preserve">traditionally </w:t>
      </w:r>
      <w:r w:rsidR="00CB0CB2" w:rsidRPr="003E3DFC">
        <w:rPr>
          <w:szCs w:val="24"/>
        </w:rPr>
        <w:t>underrepresent</w:t>
      </w:r>
      <w:r w:rsidR="001E7C1C" w:rsidRPr="003E3DFC">
        <w:rPr>
          <w:szCs w:val="24"/>
        </w:rPr>
        <w:t xml:space="preserve">ed in the </w:t>
      </w:r>
      <w:r w:rsidR="00BC067A" w:rsidRPr="003E3DFC">
        <w:rPr>
          <w:szCs w:val="24"/>
        </w:rPr>
        <w:t>labour</w:t>
      </w:r>
      <w:r w:rsidR="00AC5A7F" w:rsidRPr="003E3DFC">
        <w:rPr>
          <w:szCs w:val="24"/>
        </w:rPr>
        <w:t xml:space="preserve"> market. </w:t>
      </w:r>
      <w:r w:rsidR="002145A8" w:rsidRPr="003E3DFC">
        <w:rPr>
          <w:bCs/>
          <w:szCs w:val="24"/>
        </w:rPr>
        <w:t xml:space="preserve">Mickovska-Raleva and Dimitrijevska (2013) further arguing </w:t>
      </w:r>
      <w:r w:rsidR="00BC067A" w:rsidRPr="003E3DFC">
        <w:rPr>
          <w:szCs w:val="24"/>
        </w:rPr>
        <w:t xml:space="preserve">that </w:t>
      </w:r>
      <w:r w:rsidR="00BC067A" w:rsidRPr="003E3DFC">
        <w:rPr>
          <w:szCs w:val="24"/>
          <w:lang w:eastAsia="en-GB"/>
        </w:rPr>
        <w:t>special attention needs to be given to policies for greater inclusion of women</w:t>
      </w:r>
      <w:r w:rsidR="006814A5" w:rsidRPr="003E3DFC">
        <w:rPr>
          <w:szCs w:val="24"/>
          <w:lang w:eastAsia="en-GB"/>
        </w:rPr>
        <w:t>. This i</w:t>
      </w:r>
      <w:r w:rsidR="00BC067A" w:rsidRPr="003E3DFC">
        <w:rPr>
          <w:szCs w:val="24"/>
          <w:lang w:eastAsia="en-GB"/>
        </w:rPr>
        <w:t xml:space="preserve">n particular women from rural areas and young women. </w:t>
      </w:r>
      <w:r w:rsidR="00BC067A" w:rsidRPr="003E3DFC">
        <w:rPr>
          <w:szCs w:val="24"/>
        </w:rPr>
        <w:t>Mojsoska-Blazevski and Kurtishi</w:t>
      </w:r>
      <w:r w:rsidR="0057162C" w:rsidRPr="003E3DFC">
        <w:rPr>
          <w:szCs w:val="24"/>
        </w:rPr>
        <w:t xml:space="preserve"> (</w:t>
      </w:r>
      <w:r w:rsidR="00BC067A" w:rsidRPr="003E3DFC">
        <w:rPr>
          <w:szCs w:val="24"/>
        </w:rPr>
        <w:t>2012)</w:t>
      </w:r>
      <w:r w:rsidR="0057162C" w:rsidRPr="003E3DFC">
        <w:rPr>
          <w:szCs w:val="24"/>
        </w:rPr>
        <w:t xml:space="preserve"> argue to greater depth in this context and state that the </w:t>
      </w:r>
      <w:r w:rsidR="001E7C1C" w:rsidRPr="003E3DFC">
        <w:t xml:space="preserve">main reason why the female unemployment rate is not much higher is </w:t>
      </w:r>
      <w:r w:rsidR="00CB0CB2" w:rsidRPr="003E3DFC">
        <w:t>the relatively high willingness of women to take low-paid, secure public sector jobs, or jobs in newly created small private firms, since by tradition, they are second-income family earners</w:t>
      </w:r>
      <w:r w:rsidR="001E7C1C" w:rsidRPr="003E3DFC">
        <w:t xml:space="preserve">. </w:t>
      </w:r>
    </w:p>
    <w:p w14:paraId="1ACC6792" w14:textId="77777777" w:rsidR="0069731E" w:rsidRPr="003E3DFC" w:rsidRDefault="0069731E" w:rsidP="00900BB1">
      <w:pPr>
        <w:pStyle w:val="NoSpacing"/>
        <w:rPr>
          <w:lang w:val="en-GB"/>
        </w:rPr>
      </w:pPr>
    </w:p>
    <w:p w14:paraId="58378E1B" w14:textId="77777777" w:rsidR="00EE5C21" w:rsidRPr="003E3DFC" w:rsidRDefault="00EE5C21" w:rsidP="00900BB1">
      <w:pPr>
        <w:pStyle w:val="NoSpacing"/>
        <w:rPr>
          <w:lang w:val="en-GB"/>
        </w:rPr>
      </w:pPr>
    </w:p>
    <w:p w14:paraId="5D59EA61" w14:textId="77777777" w:rsidR="007F3819" w:rsidRPr="003E3DFC" w:rsidRDefault="007F3819" w:rsidP="00900BB1">
      <w:pPr>
        <w:pStyle w:val="NoSpacing"/>
        <w:rPr>
          <w:lang w:val="en-GB"/>
        </w:rPr>
      </w:pPr>
    </w:p>
    <w:p w14:paraId="74F23634" w14:textId="77777777" w:rsidR="00AA13D6" w:rsidRPr="003E3DFC" w:rsidRDefault="00AA13D6" w:rsidP="00AA13D6">
      <w:pPr>
        <w:pStyle w:val="NoSpacing"/>
        <w:rPr>
          <w:i/>
          <w:lang w:val="en-GB"/>
        </w:rPr>
      </w:pPr>
      <w:r w:rsidRPr="003E3DFC">
        <w:rPr>
          <w:i/>
          <w:lang w:val="en-GB"/>
        </w:rPr>
        <w:t>Methodology</w:t>
      </w:r>
    </w:p>
    <w:p w14:paraId="4AD1A539" w14:textId="77777777" w:rsidR="007D31EC" w:rsidRPr="003E3DFC" w:rsidRDefault="007D31EC" w:rsidP="00AA13D6">
      <w:pPr>
        <w:pStyle w:val="NoSpacing"/>
        <w:rPr>
          <w:lang w:val="en-GB"/>
        </w:rPr>
      </w:pPr>
    </w:p>
    <w:p w14:paraId="3F9EAD5D" w14:textId="7DEC303B" w:rsidR="007D31EC" w:rsidRPr="003E3DFC" w:rsidRDefault="007D31EC" w:rsidP="007D31EC">
      <w:pPr>
        <w:pStyle w:val="NoSpacing"/>
        <w:rPr>
          <w:lang w:val="en-GB"/>
        </w:rPr>
      </w:pPr>
      <w:r w:rsidRPr="003E3DFC">
        <w:rPr>
          <w:lang w:val="en-GB"/>
        </w:rPr>
        <w:t>To properly understand female unemployment, it is essential to consider the development of the labour market from a much broader perspective</w:t>
      </w:r>
      <w:r w:rsidR="00752550" w:rsidRPr="003E3DFC">
        <w:rPr>
          <w:lang w:val="en-GB"/>
        </w:rPr>
        <w:t xml:space="preserve"> and to also observe changes in the labour market in general. A close look a</w:t>
      </w:r>
      <w:r w:rsidRPr="003E3DFC">
        <w:rPr>
          <w:lang w:val="en-GB"/>
        </w:rPr>
        <w:t>t other</w:t>
      </w:r>
      <w:r w:rsidR="00752550" w:rsidRPr="003E3DFC">
        <w:rPr>
          <w:lang w:val="en-GB"/>
        </w:rPr>
        <w:t xml:space="preserve"> labour market indicators such</w:t>
      </w:r>
      <w:r w:rsidRPr="003E3DFC">
        <w:rPr>
          <w:lang w:val="en-GB"/>
        </w:rPr>
        <w:t xml:space="preserve"> </w:t>
      </w:r>
      <w:r w:rsidR="00752550" w:rsidRPr="003E3DFC">
        <w:rPr>
          <w:lang w:val="en-GB"/>
        </w:rPr>
        <w:t xml:space="preserve">the rate of </w:t>
      </w:r>
      <w:r w:rsidRPr="003E3DFC">
        <w:rPr>
          <w:lang w:val="en-GB"/>
        </w:rPr>
        <w:t>economically active and inactive population and employment trends</w:t>
      </w:r>
      <w:r w:rsidR="00752550" w:rsidRPr="003E3DFC">
        <w:rPr>
          <w:lang w:val="en-GB"/>
        </w:rPr>
        <w:t xml:space="preserve"> is deemed warranted in this case. </w:t>
      </w:r>
      <w:r w:rsidRPr="003E3DFC">
        <w:rPr>
          <w:lang w:val="en-GB"/>
        </w:rPr>
        <w:t>This in respect to both gender gaps and</w:t>
      </w:r>
      <w:r w:rsidR="00752550" w:rsidRPr="003E3DFC">
        <w:rPr>
          <w:lang w:val="en-GB"/>
        </w:rPr>
        <w:t xml:space="preserve"> </w:t>
      </w:r>
      <w:r w:rsidRPr="003E3DFC">
        <w:rPr>
          <w:lang w:val="en-GB"/>
        </w:rPr>
        <w:t>aggregate level (national level)</w:t>
      </w:r>
      <w:r w:rsidR="00752550" w:rsidRPr="003E3DFC">
        <w:rPr>
          <w:lang w:val="en-GB"/>
        </w:rPr>
        <w:t xml:space="preserve"> rates.  </w:t>
      </w:r>
      <w:r w:rsidRPr="003E3DFC">
        <w:rPr>
          <w:lang w:val="en-GB"/>
        </w:rPr>
        <w:t>A valuable source in the capturing of events in the labour market is the Labour Force Survey (LFS), which is executed annually by the State Statistical Offices of various EU countries and EU candidate countries. Hence, for the sake of harmonised labour market data, in particular for c</w:t>
      </w:r>
      <w:r w:rsidR="00070C5D" w:rsidRPr="003E3DFC">
        <w:rPr>
          <w:lang w:val="en-GB"/>
        </w:rPr>
        <w:t>om</w:t>
      </w:r>
      <w:r w:rsidRPr="003E3DFC">
        <w:rPr>
          <w:lang w:val="en-GB"/>
        </w:rPr>
        <w:t xml:space="preserve">parison purposes, data analysis of trends in female unemployment in Republic of Macedonia is based on official Labour Force Survey data published by the State Statistical Office of the Republic of Macedonia and Labour Force Survey data of </w:t>
      </w:r>
      <w:r w:rsidR="00752550" w:rsidRPr="003E3DFC">
        <w:rPr>
          <w:lang w:val="en-GB"/>
        </w:rPr>
        <w:t>selected</w:t>
      </w:r>
      <w:r w:rsidRPr="003E3DFC">
        <w:rPr>
          <w:lang w:val="en-GB"/>
        </w:rPr>
        <w:t xml:space="preserve"> Balkan countries published by Eurostat. </w:t>
      </w:r>
    </w:p>
    <w:p w14:paraId="33BF4D02" w14:textId="77777777" w:rsidR="00A276A4" w:rsidRPr="003E3DFC" w:rsidRDefault="00A276A4" w:rsidP="00A276A4">
      <w:pPr>
        <w:rPr>
          <w:sz w:val="20"/>
        </w:rPr>
      </w:pPr>
    </w:p>
    <w:p w14:paraId="7EA1D4EA" w14:textId="61BB2B12" w:rsidR="00F37EF1" w:rsidRPr="003E3DFC" w:rsidRDefault="00420112" w:rsidP="00900BB1">
      <w:pPr>
        <w:pStyle w:val="Heading1"/>
      </w:pPr>
      <w:r w:rsidRPr="003E3DFC">
        <w:t>Data Analysis</w:t>
      </w:r>
    </w:p>
    <w:p w14:paraId="677A2081" w14:textId="77777777" w:rsidR="0070067C" w:rsidRPr="003E3DFC" w:rsidRDefault="0070067C" w:rsidP="00900BB1">
      <w:pPr>
        <w:pStyle w:val="NoSpacing"/>
        <w:rPr>
          <w:i/>
          <w:lang w:val="en-GB"/>
        </w:rPr>
      </w:pPr>
    </w:p>
    <w:p w14:paraId="21720C12" w14:textId="64703617" w:rsidR="00873C25" w:rsidRPr="003E3DFC" w:rsidRDefault="00873C25" w:rsidP="00900BB1">
      <w:pPr>
        <w:pStyle w:val="NoSpacing"/>
        <w:rPr>
          <w:i/>
          <w:lang w:val="en-GB"/>
        </w:rPr>
      </w:pPr>
      <w:r w:rsidRPr="003E3DFC">
        <w:rPr>
          <w:i/>
          <w:lang w:val="en-GB"/>
        </w:rPr>
        <w:t>Female Labour Market Participation and Inactivity</w:t>
      </w:r>
    </w:p>
    <w:p w14:paraId="07A98338" w14:textId="77777777" w:rsidR="00C51BAC" w:rsidRPr="003E3DFC" w:rsidRDefault="00C51BAC" w:rsidP="00C51BAC">
      <w:pPr>
        <w:pStyle w:val="NoSpacing"/>
        <w:rPr>
          <w:lang w:val="en-GB"/>
        </w:rPr>
      </w:pPr>
    </w:p>
    <w:p w14:paraId="2F45DA25" w14:textId="7BEE755D" w:rsidR="00F37EF1" w:rsidRPr="003E3DFC" w:rsidRDefault="00BF105F" w:rsidP="00F37EF1">
      <w:pPr>
        <w:pStyle w:val="NoSpacing"/>
        <w:rPr>
          <w:lang w:val="en-GB"/>
        </w:rPr>
      </w:pPr>
      <w:r w:rsidRPr="003E3DFC">
        <w:rPr>
          <w:lang w:val="en-GB"/>
        </w:rPr>
        <w:t>Labour</w:t>
      </w:r>
      <w:r w:rsidR="00FD528A" w:rsidRPr="003E3DFC">
        <w:rPr>
          <w:lang w:val="en-GB"/>
        </w:rPr>
        <w:t xml:space="preserve"> force</w:t>
      </w:r>
      <w:r w:rsidR="00A80198" w:rsidRPr="003E3DFC">
        <w:rPr>
          <w:rStyle w:val="EndnoteReference"/>
          <w:lang w:val="en-GB"/>
        </w:rPr>
        <w:endnoteReference w:id="1"/>
      </w:r>
      <w:r w:rsidR="00A80198" w:rsidRPr="003E3DFC">
        <w:rPr>
          <w:lang w:val="en-GB"/>
        </w:rPr>
        <w:t xml:space="preserve"> </w:t>
      </w:r>
      <w:r w:rsidR="00FD528A" w:rsidRPr="003E3DFC">
        <w:rPr>
          <w:lang w:val="en-GB"/>
        </w:rPr>
        <w:t>participation</w:t>
      </w:r>
      <w:r w:rsidR="00A80198" w:rsidRPr="003E3DFC">
        <w:rPr>
          <w:lang w:val="en-GB"/>
        </w:rPr>
        <w:t xml:space="preserve"> rate</w:t>
      </w:r>
      <w:r w:rsidR="00FD528A" w:rsidRPr="003E3DFC">
        <w:rPr>
          <w:lang w:val="en-GB"/>
        </w:rPr>
        <w:t xml:space="preserve"> (</w:t>
      </w:r>
      <w:r w:rsidR="00A80198" w:rsidRPr="003E3DFC">
        <w:rPr>
          <w:lang w:val="en-GB"/>
        </w:rPr>
        <w:t xml:space="preserve">economic </w:t>
      </w:r>
      <w:r w:rsidR="00FD528A" w:rsidRPr="003E3DFC">
        <w:rPr>
          <w:lang w:val="en-GB"/>
        </w:rPr>
        <w:t>activity rate</w:t>
      </w:r>
      <w:r w:rsidR="00A80198" w:rsidRPr="003E3DFC">
        <w:rPr>
          <w:lang w:val="en-GB"/>
        </w:rPr>
        <w:t xml:space="preserve"> - EAR</w:t>
      </w:r>
      <w:r w:rsidR="00A80198" w:rsidRPr="003E3DFC">
        <w:rPr>
          <w:rStyle w:val="EndnoteReference"/>
          <w:lang w:val="en-GB"/>
        </w:rPr>
        <w:endnoteReference w:id="2"/>
      </w:r>
      <w:r w:rsidR="00A80198" w:rsidRPr="003E3DFC">
        <w:rPr>
          <w:lang w:val="en-GB"/>
        </w:rPr>
        <w:t>)</w:t>
      </w:r>
      <w:r w:rsidR="00FD528A" w:rsidRPr="003E3DFC">
        <w:rPr>
          <w:lang w:val="en-GB"/>
        </w:rPr>
        <w:t xml:space="preserve"> of women in the Republic of Macedonia has </w:t>
      </w:r>
      <w:r w:rsidRPr="003E3DFC">
        <w:rPr>
          <w:lang w:val="en-GB"/>
        </w:rPr>
        <w:t xml:space="preserve">shown a slight increase </w:t>
      </w:r>
      <w:r w:rsidR="00FD528A" w:rsidRPr="003E3DFC">
        <w:rPr>
          <w:lang w:val="en-GB"/>
        </w:rPr>
        <w:t xml:space="preserve">in the last </w:t>
      </w:r>
      <w:r w:rsidRPr="003E3DFC">
        <w:rPr>
          <w:lang w:val="en-GB"/>
        </w:rPr>
        <w:t xml:space="preserve">decade (2004-2013). The participation of women in the </w:t>
      </w:r>
      <w:r w:rsidR="003B2F61" w:rsidRPr="003E3DFC">
        <w:rPr>
          <w:lang w:val="en-GB"/>
        </w:rPr>
        <w:t>labour</w:t>
      </w:r>
      <w:r w:rsidRPr="003E3DFC">
        <w:rPr>
          <w:lang w:val="en-GB"/>
        </w:rPr>
        <w:t xml:space="preserve"> market has </w:t>
      </w:r>
      <w:r w:rsidR="00A80198" w:rsidRPr="003E3DFC">
        <w:rPr>
          <w:lang w:val="en-GB"/>
        </w:rPr>
        <w:t>increased in the observed period</w:t>
      </w:r>
      <w:r w:rsidRPr="003E3DFC">
        <w:rPr>
          <w:lang w:val="en-GB"/>
        </w:rPr>
        <w:t xml:space="preserve"> by 12.8% (figure 1) which is slightly higher than the increase experienced in the case of male </w:t>
      </w:r>
      <w:r w:rsidR="00752550" w:rsidRPr="003E3DFC">
        <w:rPr>
          <w:lang w:val="en-GB"/>
        </w:rPr>
        <w:t xml:space="preserve">labour force </w:t>
      </w:r>
      <w:r w:rsidRPr="003E3DFC">
        <w:rPr>
          <w:lang w:val="en-GB"/>
        </w:rPr>
        <w:t>participation (8.9%) in the same period. Noteworthy</w:t>
      </w:r>
      <w:r w:rsidR="00A80AAE" w:rsidRPr="003E3DFC">
        <w:rPr>
          <w:lang w:val="en-GB"/>
        </w:rPr>
        <w:t>,</w:t>
      </w:r>
      <w:r w:rsidR="003B2F61" w:rsidRPr="003E3DFC">
        <w:rPr>
          <w:lang w:val="en-GB"/>
        </w:rPr>
        <w:t xml:space="preserve"> </w:t>
      </w:r>
      <w:r w:rsidRPr="003E3DFC">
        <w:rPr>
          <w:lang w:val="en-GB"/>
        </w:rPr>
        <w:t xml:space="preserve">is that a </w:t>
      </w:r>
      <w:r w:rsidR="00752550" w:rsidRPr="003E3DFC">
        <w:rPr>
          <w:lang w:val="en-GB"/>
        </w:rPr>
        <w:t>noticeable</w:t>
      </w:r>
      <w:r w:rsidRPr="003E3DFC">
        <w:rPr>
          <w:lang w:val="en-GB"/>
        </w:rPr>
        <w:t xml:space="preserve"> gap exists when comparing activity rates amongst females and males. As shown in figure 1, female activity rates are significantly lower than male activity</w:t>
      </w:r>
      <w:r w:rsidR="00DA551E" w:rsidRPr="003E3DFC">
        <w:rPr>
          <w:lang w:val="en-GB"/>
        </w:rPr>
        <w:t xml:space="preserve"> in each year of the observed period</w:t>
      </w:r>
      <w:r w:rsidRPr="003E3DFC">
        <w:rPr>
          <w:lang w:val="en-GB"/>
        </w:rPr>
        <w:t xml:space="preserve">.  </w:t>
      </w:r>
      <w:r w:rsidR="003B2F61" w:rsidRPr="003E3DFC">
        <w:rPr>
          <w:lang w:val="en-GB"/>
        </w:rPr>
        <w:t>According to the World Bank (2008), lower female participation rates are</w:t>
      </w:r>
      <w:r w:rsidR="00752550" w:rsidRPr="003E3DFC">
        <w:rPr>
          <w:lang w:val="en-GB"/>
        </w:rPr>
        <w:t xml:space="preserve"> believed to be</w:t>
      </w:r>
      <w:r w:rsidR="003B2F61" w:rsidRPr="003E3DFC">
        <w:rPr>
          <w:lang w:val="en-GB"/>
        </w:rPr>
        <w:t xml:space="preserve"> mainly driven by very low levels of participation of young-rural-unskilled women. </w:t>
      </w:r>
      <w:r w:rsidR="00752550" w:rsidRPr="003E3DFC">
        <w:rPr>
          <w:lang w:val="en-GB"/>
        </w:rPr>
        <w:t xml:space="preserve">Furthermore, </w:t>
      </w:r>
      <w:r w:rsidR="00BD17A8" w:rsidRPr="003E3DFC">
        <w:rPr>
          <w:lang w:val="en-GB"/>
        </w:rPr>
        <w:t>a</w:t>
      </w:r>
      <w:r w:rsidR="003B2F61" w:rsidRPr="003E3DFC">
        <w:rPr>
          <w:lang w:val="en-GB"/>
        </w:rPr>
        <w:t>ccording to the same report, most women who are not in the labour force are either in school or undertaking household activities.</w:t>
      </w:r>
      <w:r w:rsidR="00F37EF1" w:rsidRPr="003E3DFC">
        <w:rPr>
          <w:lang w:val="en-GB"/>
        </w:rPr>
        <w:t xml:space="preserve"> </w:t>
      </w:r>
      <w:r w:rsidR="00752550" w:rsidRPr="003E3DFC">
        <w:rPr>
          <w:lang w:val="en-GB"/>
        </w:rPr>
        <w:t>While</w:t>
      </w:r>
      <w:r w:rsidR="00F37EF1" w:rsidRPr="003E3DFC">
        <w:rPr>
          <w:lang w:val="en-GB"/>
        </w:rPr>
        <w:t xml:space="preserve">, according to Mojsoska-Blazevski et al. (2009), the main factors influencing low participation of women in R. of Macedonia include the tradition and cultural habits in the country, the low level of education and skills, ethnicity in combined with the education, the availability and cost of child care services and care for older family members, labour market discrimination </w:t>
      </w:r>
      <w:r w:rsidR="00DA551E" w:rsidRPr="003E3DFC">
        <w:rPr>
          <w:lang w:val="en-GB"/>
        </w:rPr>
        <w:t xml:space="preserve">towards </w:t>
      </w:r>
      <w:r w:rsidR="00F37EF1" w:rsidRPr="003E3DFC">
        <w:rPr>
          <w:lang w:val="en-GB"/>
        </w:rPr>
        <w:t xml:space="preserve">females, etc. </w:t>
      </w:r>
      <w:r w:rsidR="00752550" w:rsidRPr="003E3DFC">
        <w:rPr>
          <w:lang w:val="en-GB"/>
        </w:rPr>
        <w:t xml:space="preserve">Mojsoska-Blazevski </w:t>
      </w:r>
      <w:r w:rsidR="000C3304" w:rsidRPr="003E3DFC">
        <w:rPr>
          <w:lang w:val="en-GB"/>
        </w:rPr>
        <w:t>et al. (2009) further state</w:t>
      </w:r>
      <w:r w:rsidR="00752550" w:rsidRPr="003E3DFC">
        <w:rPr>
          <w:lang w:val="en-GB"/>
        </w:rPr>
        <w:t xml:space="preserve"> that </w:t>
      </w:r>
      <w:r w:rsidR="00F37EF1" w:rsidRPr="003E3DFC">
        <w:rPr>
          <w:lang w:val="en-GB"/>
        </w:rPr>
        <w:t>young, rural and unskilled females are less likely to be active in the labour market.</w:t>
      </w:r>
      <w:r w:rsidR="00586561" w:rsidRPr="003E3DFC">
        <w:rPr>
          <w:lang w:val="en-GB"/>
        </w:rPr>
        <w:t xml:space="preserve"> Another important aspect to consider in this context is women’s participation in the informal economy. As stated by Huyer (2014), the low labour force participation rate of women in the labour market may also indicate a much greater reliance by women on the informal economy. This particular in the case of </w:t>
      </w:r>
      <w:r w:rsidR="00884259" w:rsidRPr="003E3DFC">
        <w:rPr>
          <w:lang w:val="en-GB"/>
        </w:rPr>
        <w:t>rural women, and o</w:t>
      </w:r>
      <w:r w:rsidR="006B76C9" w:rsidRPr="003E3DFC">
        <w:rPr>
          <w:lang w:val="en-GB"/>
        </w:rPr>
        <w:t>f women with Albanian and Roma o</w:t>
      </w:r>
      <w:r w:rsidR="00884259" w:rsidRPr="003E3DFC">
        <w:rPr>
          <w:lang w:val="en-GB"/>
        </w:rPr>
        <w:t>rigin (Lehman, 2010).</w:t>
      </w:r>
    </w:p>
    <w:p w14:paraId="3C4226CB" w14:textId="77777777" w:rsidR="002A524E" w:rsidRPr="003E3DFC" w:rsidRDefault="002A524E" w:rsidP="00F37EF1">
      <w:pPr>
        <w:pStyle w:val="NoSpacing"/>
        <w:rPr>
          <w:lang w:val="en-GB"/>
        </w:rPr>
      </w:pPr>
    </w:p>
    <w:p w14:paraId="629EFB20" w14:textId="033B88D5" w:rsidR="002A524E" w:rsidRPr="003E3DFC" w:rsidRDefault="002454BD" w:rsidP="002A524E">
      <w:pPr>
        <w:pStyle w:val="NoSpacing"/>
        <w:rPr>
          <w:lang w:val="en-GB"/>
        </w:rPr>
      </w:pPr>
      <w:r w:rsidRPr="003E3DFC">
        <w:rPr>
          <w:lang w:val="en-GB"/>
        </w:rPr>
        <w:t>F</w:t>
      </w:r>
      <w:r w:rsidR="002A524E" w:rsidRPr="003E3DFC">
        <w:rPr>
          <w:lang w:val="en-GB"/>
        </w:rPr>
        <w:t>emale labour force participation slightly increased dur</w:t>
      </w:r>
      <w:r w:rsidR="006B76C9" w:rsidRPr="003E3DFC">
        <w:rPr>
          <w:lang w:val="en-GB"/>
        </w:rPr>
        <w:t>ing the global economic crisis o</w:t>
      </w:r>
      <w:r w:rsidR="002A524E" w:rsidRPr="003E3DFC">
        <w:rPr>
          <w:lang w:val="en-GB"/>
        </w:rPr>
        <w:t xml:space="preserve">pposite to what could have been expected. As stated by </w:t>
      </w:r>
      <w:r w:rsidRPr="003E3DFC">
        <w:rPr>
          <w:lang w:val="en-GB"/>
        </w:rPr>
        <w:t xml:space="preserve">Avlijaš et al. (2013) </w:t>
      </w:r>
      <w:r w:rsidR="002A524E" w:rsidRPr="003E3DFC">
        <w:rPr>
          <w:lang w:val="en-GB"/>
        </w:rPr>
        <w:t>this could be understood as a coping mechanism of households facing income shocks by adding a family member to the labour market or replacing a family member who lost their employment.</w:t>
      </w:r>
    </w:p>
    <w:p w14:paraId="25CE7B7C" w14:textId="77777777" w:rsidR="003B2F61" w:rsidRPr="003E3DFC" w:rsidRDefault="003B2F61" w:rsidP="006303F6">
      <w:pPr>
        <w:pStyle w:val="NoSpacing"/>
        <w:rPr>
          <w:lang w:val="en-GB"/>
        </w:rPr>
      </w:pPr>
    </w:p>
    <w:p w14:paraId="7D6406CE" w14:textId="77777777" w:rsidR="00306A8D" w:rsidRPr="003E3DFC" w:rsidRDefault="00BF105F" w:rsidP="00BF105F">
      <w:pPr>
        <w:pStyle w:val="NoSpacing"/>
        <w:rPr>
          <w:lang w:val="en-GB"/>
        </w:rPr>
      </w:pPr>
      <w:r w:rsidRPr="003E3DFC">
        <w:rPr>
          <w:lang w:val="en-GB"/>
        </w:rPr>
        <w:lastRenderedPageBreak/>
        <w:t>From an educational attainment perspective, f</w:t>
      </w:r>
      <w:r w:rsidR="00306A8D" w:rsidRPr="003E3DFC">
        <w:rPr>
          <w:lang w:val="en-GB"/>
        </w:rPr>
        <w:t xml:space="preserve">emale participation </w:t>
      </w:r>
      <w:r w:rsidRPr="003E3DFC">
        <w:rPr>
          <w:lang w:val="en-GB"/>
        </w:rPr>
        <w:t xml:space="preserve">in the labour market is </w:t>
      </w:r>
      <w:r w:rsidR="00306A8D" w:rsidRPr="003E3DFC">
        <w:rPr>
          <w:lang w:val="en-GB"/>
        </w:rPr>
        <w:t>highest among women with tertiary education</w:t>
      </w:r>
      <w:r w:rsidRPr="003E3DFC">
        <w:rPr>
          <w:lang w:val="en-GB"/>
        </w:rPr>
        <w:t xml:space="preserve"> which saw a slight but steady increase </w:t>
      </w:r>
      <w:r w:rsidR="00306A8D" w:rsidRPr="003E3DFC">
        <w:rPr>
          <w:lang w:val="en-GB"/>
        </w:rPr>
        <w:t>until 2010 (89.4%)</w:t>
      </w:r>
      <w:r w:rsidRPr="003E3DFC">
        <w:rPr>
          <w:lang w:val="en-GB"/>
        </w:rPr>
        <w:t xml:space="preserve"> following a slight decrease in </w:t>
      </w:r>
      <w:r w:rsidR="00306A8D" w:rsidRPr="003E3DFC">
        <w:rPr>
          <w:lang w:val="en-GB"/>
        </w:rPr>
        <w:t xml:space="preserve">the following years </w:t>
      </w:r>
      <w:r w:rsidRPr="003E3DFC">
        <w:rPr>
          <w:lang w:val="en-GB"/>
        </w:rPr>
        <w:t>reaching 87.6% in 2013.</w:t>
      </w:r>
      <w:r w:rsidRPr="003E3DFC">
        <w:rPr>
          <w:color w:val="FF0000"/>
          <w:lang w:val="en-GB"/>
        </w:rPr>
        <w:t xml:space="preserve"> </w:t>
      </w:r>
      <w:r w:rsidR="008C4F6C" w:rsidRPr="003E3DFC">
        <w:rPr>
          <w:color w:val="FF0000"/>
          <w:lang w:val="en-GB"/>
        </w:rPr>
        <w:t xml:space="preserve"> </w:t>
      </w:r>
    </w:p>
    <w:p w14:paraId="016606F9" w14:textId="77777777" w:rsidR="00306A8D" w:rsidRPr="003E3DFC" w:rsidRDefault="00306A8D" w:rsidP="006303F6">
      <w:pPr>
        <w:pStyle w:val="NoSpacing"/>
        <w:rPr>
          <w:lang w:val="en-GB"/>
        </w:rPr>
      </w:pPr>
    </w:p>
    <w:p w14:paraId="422634EE" w14:textId="72CA7A7E" w:rsidR="00306A8D" w:rsidRPr="003E3DFC" w:rsidRDefault="00306A8D" w:rsidP="00306A8D">
      <w:pPr>
        <w:pStyle w:val="Caption"/>
        <w:rPr>
          <w:i w:val="0"/>
          <w:color w:val="auto"/>
          <w:sz w:val="24"/>
        </w:rPr>
      </w:pPr>
      <w:r w:rsidRPr="003E3DFC">
        <w:rPr>
          <w:i w:val="0"/>
          <w:color w:val="auto"/>
          <w:sz w:val="24"/>
        </w:rPr>
        <w:t xml:space="preserve">Figure </w:t>
      </w:r>
      <w:r w:rsidRPr="003E3DFC">
        <w:rPr>
          <w:i w:val="0"/>
          <w:color w:val="auto"/>
          <w:sz w:val="24"/>
        </w:rPr>
        <w:fldChar w:fldCharType="begin"/>
      </w:r>
      <w:r w:rsidRPr="003E3DFC">
        <w:rPr>
          <w:i w:val="0"/>
          <w:color w:val="auto"/>
          <w:sz w:val="24"/>
        </w:rPr>
        <w:instrText xml:space="preserve"> SEQ Figure \* ARABIC </w:instrText>
      </w:r>
      <w:r w:rsidRPr="003E3DFC">
        <w:rPr>
          <w:i w:val="0"/>
          <w:color w:val="auto"/>
          <w:sz w:val="24"/>
        </w:rPr>
        <w:fldChar w:fldCharType="separate"/>
      </w:r>
      <w:r w:rsidR="00DA3F02" w:rsidRPr="003E3DFC">
        <w:rPr>
          <w:i w:val="0"/>
          <w:noProof/>
          <w:color w:val="auto"/>
          <w:sz w:val="24"/>
        </w:rPr>
        <w:t>1</w:t>
      </w:r>
      <w:r w:rsidRPr="003E3DFC">
        <w:rPr>
          <w:i w:val="0"/>
          <w:color w:val="auto"/>
          <w:sz w:val="24"/>
        </w:rPr>
        <w:fldChar w:fldCharType="end"/>
      </w:r>
      <w:r w:rsidRPr="003E3DFC">
        <w:rPr>
          <w:i w:val="0"/>
          <w:color w:val="auto"/>
          <w:sz w:val="24"/>
        </w:rPr>
        <w:t xml:space="preserve">: Labour Force Participation in </w:t>
      </w:r>
      <w:r w:rsidR="00C30864" w:rsidRPr="003E3DFC">
        <w:rPr>
          <w:i w:val="0"/>
          <w:color w:val="auto"/>
          <w:sz w:val="24"/>
        </w:rPr>
        <w:t xml:space="preserve">R. of </w:t>
      </w:r>
      <w:r w:rsidRPr="003E3DFC">
        <w:rPr>
          <w:i w:val="0"/>
          <w:color w:val="auto"/>
          <w:sz w:val="24"/>
        </w:rPr>
        <w:t>Macedonia 2004-2013 by gender and highest level of education attained</w:t>
      </w:r>
      <w:r w:rsidR="00511969" w:rsidRPr="003E3DFC">
        <w:rPr>
          <w:i w:val="0"/>
          <w:color w:val="auto"/>
          <w:sz w:val="24"/>
        </w:rPr>
        <w:t xml:space="preserve"> among females</w:t>
      </w:r>
      <w:r w:rsidRPr="003E3DFC">
        <w:rPr>
          <w:i w:val="0"/>
          <w:color w:val="auto"/>
          <w:sz w:val="24"/>
        </w:rPr>
        <w:t xml:space="preserve"> (%)</w:t>
      </w:r>
    </w:p>
    <w:p w14:paraId="4EC96A53" w14:textId="6A6EFA31" w:rsidR="00306A8D" w:rsidRPr="003E3DFC" w:rsidRDefault="006C06C9" w:rsidP="00306A8D">
      <w:pPr>
        <w:pStyle w:val="NoSpacing"/>
        <w:rPr>
          <w:lang w:val="en-GB"/>
        </w:rPr>
      </w:pPr>
      <w:r w:rsidRPr="003E3DFC">
        <w:rPr>
          <w:noProof/>
          <w:lang w:val="bs-Latn-BA" w:eastAsia="bs-Latn-BA"/>
        </w:rPr>
        <w:drawing>
          <wp:inline distT="0" distB="0" distL="0" distR="0" wp14:anchorId="5195F489" wp14:editId="549358B7">
            <wp:extent cx="6029325" cy="2981325"/>
            <wp:effectExtent l="0" t="0" r="0" b="0"/>
            <wp:docPr id="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00CB9E" w14:textId="77777777" w:rsidR="00306A8D" w:rsidRPr="003E3DFC" w:rsidRDefault="00306A8D" w:rsidP="00306A8D">
      <w:pPr>
        <w:pStyle w:val="NoSpacing"/>
        <w:rPr>
          <w:lang w:val="en-GB"/>
        </w:rPr>
      </w:pPr>
      <w:r w:rsidRPr="003E3DFC">
        <w:rPr>
          <w:lang w:val="en-GB"/>
        </w:rPr>
        <w:t xml:space="preserve">Source: LFS, State Statistical Office of the </w:t>
      </w:r>
      <w:r w:rsidR="00C30864" w:rsidRPr="003E3DFC">
        <w:rPr>
          <w:lang w:val="en-GB"/>
        </w:rPr>
        <w:t>R. of Macedonia</w:t>
      </w:r>
    </w:p>
    <w:p w14:paraId="59904197" w14:textId="77777777" w:rsidR="00454FD6" w:rsidRPr="003E3DFC" w:rsidRDefault="00454FD6" w:rsidP="00306A8D">
      <w:pPr>
        <w:pStyle w:val="NoSpacing"/>
        <w:rPr>
          <w:lang w:val="en-GB"/>
        </w:rPr>
      </w:pPr>
    </w:p>
    <w:p w14:paraId="0E312BDB" w14:textId="5673B264" w:rsidR="000F577E" w:rsidRPr="003E3DFC" w:rsidRDefault="009C56AD" w:rsidP="00306A8D">
      <w:pPr>
        <w:pStyle w:val="NoSpacing"/>
        <w:rPr>
          <w:lang w:val="en-GB"/>
        </w:rPr>
      </w:pPr>
      <w:r w:rsidRPr="003E3DFC">
        <w:rPr>
          <w:lang w:val="en-GB"/>
        </w:rPr>
        <w:t xml:space="preserve">Compared to Balkan countries in the European Union (figure 2), data shows that </w:t>
      </w:r>
      <w:r w:rsidR="00C30864" w:rsidRPr="003E3DFC">
        <w:rPr>
          <w:lang w:val="en-GB"/>
        </w:rPr>
        <w:t>R. of Macedonia</w:t>
      </w:r>
      <w:r w:rsidRPr="003E3DFC">
        <w:rPr>
          <w:lang w:val="en-GB"/>
        </w:rPr>
        <w:t xml:space="preserve"> </w:t>
      </w:r>
      <w:r w:rsidR="000F577E" w:rsidRPr="003E3DFC">
        <w:rPr>
          <w:lang w:val="en-GB"/>
        </w:rPr>
        <w:t xml:space="preserve">has </w:t>
      </w:r>
      <w:r w:rsidR="001F2A84" w:rsidRPr="003E3DFC">
        <w:rPr>
          <w:lang w:val="en-GB"/>
        </w:rPr>
        <w:t xml:space="preserve">had </w:t>
      </w:r>
      <w:r w:rsidR="000F577E" w:rsidRPr="003E3DFC">
        <w:rPr>
          <w:lang w:val="en-GB"/>
        </w:rPr>
        <w:t xml:space="preserve">the lowest female labour market participation rate </w:t>
      </w:r>
      <w:r w:rsidR="001F2A84" w:rsidRPr="003E3DFC">
        <w:rPr>
          <w:lang w:val="en-GB"/>
        </w:rPr>
        <w:t xml:space="preserve">throughout the observed period </w:t>
      </w:r>
      <w:r w:rsidR="000F577E" w:rsidRPr="003E3DFC">
        <w:rPr>
          <w:lang w:val="en-GB"/>
        </w:rPr>
        <w:t xml:space="preserve">followed by </w:t>
      </w:r>
      <w:r w:rsidR="001F2A84" w:rsidRPr="003E3DFC">
        <w:rPr>
          <w:lang w:val="en-GB"/>
        </w:rPr>
        <w:t>Croatia and</w:t>
      </w:r>
      <w:r w:rsidR="000F577E" w:rsidRPr="003E3DFC">
        <w:rPr>
          <w:lang w:val="en-GB"/>
        </w:rPr>
        <w:t xml:space="preserve"> Greece</w:t>
      </w:r>
      <w:r w:rsidR="001F2A84" w:rsidRPr="003E3DFC">
        <w:rPr>
          <w:lang w:val="en-GB"/>
        </w:rPr>
        <w:t xml:space="preserve"> with slightly higher rates</w:t>
      </w:r>
      <w:r w:rsidR="000F577E" w:rsidRPr="003E3DFC">
        <w:rPr>
          <w:lang w:val="en-GB"/>
        </w:rPr>
        <w:t xml:space="preserve">. </w:t>
      </w:r>
      <w:r w:rsidR="00C30864" w:rsidRPr="003E3DFC">
        <w:rPr>
          <w:lang w:val="en-GB"/>
        </w:rPr>
        <w:t>R. of Macedonia</w:t>
      </w:r>
      <w:r w:rsidR="000F577E" w:rsidRPr="003E3DFC">
        <w:rPr>
          <w:lang w:val="en-GB"/>
        </w:rPr>
        <w:t xml:space="preserve"> </w:t>
      </w:r>
      <w:r w:rsidRPr="003E3DFC">
        <w:rPr>
          <w:lang w:val="en-GB"/>
        </w:rPr>
        <w:t xml:space="preserve">lies </w:t>
      </w:r>
      <w:r w:rsidR="000F577E" w:rsidRPr="003E3DFC">
        <w:rPr>
          <w:lang w:val="en-GB"/>
        </w:rPr>
        <w:t>significantly</w:t>
      </w:r>
      <w:r w:rsidRPr="003E3DFC">
        <w:rPr>
          <w:lang w:val="en-GB"/>
        </w:rPr>
        <w:t xml:space="preserve"> below the average participation rate of these countries collectively, </w:t>
      </w:r>
      <w:r w:rsidR="001F2A84" w:rsidRPr="003E3DFC">
        <w:rPr>
          <w:lang w:val="en-GB"/>
        </w:rPr>
        <w:t xml:space="preserve">however noted with the </w:t>
      </w:r>
      <w:r w:rsidR="000F577E" w:rsidRPr="003E3DFC">
        <w:rPr>
          <w:lang w:val="en-GB"/>
        </w:rPr>
        <w:t>highest increa</w:t>
      </w:r>
      <w:r w:rsidR="001F2A84" w:rsidRPr="003E3DFC">
        <w:rPr>
          <w:lang w:val="en-GB"/>
        </w:rPr>
        <w:t>se in rates in the study period with 12.8%</w:t>
      </w:r>
      <w:r w:rsidR="000F577E" w:rsidRPr="003E3DFC">
        <w:rPr>
          <w:lang w:val="en-GB"/>
        </w:rPr>
        <w:t xml:space="preserve"> followed by Bulgaria with 10.4%. </w:t>
      </w:r>
      <w:r w:rsidR="001F2A84" w:rsidRPr="003E3DFC">
        <w:rPr>
          <w:lang w:val="en-GB"/>
        </w:rPr>
        <w:t>W</w:t>
      </w:r>
      <w:r w:rsidR="000F577E" w:rsidRPr="003E3DFC">
        <w:rPr>
          <w:lang w:val="en-GB"/>
        </w:rPr>
        <w:t xml:space="preserve">omen in Slovenia are much more active compared to other Balkan countries with an activity rate of 66.6% in 2013, which is 13.9% higher than the </w:t>
      </w:r>
      <w:r w:rsidR="00C30864" w:rsidRPr="003E3DFC">
        <w:rPr>
          <w:lang w:val="en-GB"/>
        </w:rPr>
        <w:t>R. of Macedonia</w:t>
      </w:r>
      <w:r w:rsidR="000F577E" w:rsidRPr="003E3DFC">
        <w:rPr>
          <w:lang w:val="en-GB"/>
        </w:rPr>
        <w:t xml:space="preserve"> (52.7%) in the same year.</w:t>
      </w:r>
    </w:p>
    <w:p w14:paraId="0F6C168D" w14:textId="77777777" w:rsidR="005D3541" w:rsidRPr="003E3DFC" w:rsidRDefault="005D3541" w:rsidP="006303F6">
      <w:pPr>
        <w:pStyle w:val="NoSpacing"/>
        <w:rPr>
          <w:lang w:val="en-GB"/>
        </w:rPr>
      </w:pPr>
    </w:p>
    <w:p w14:paraId="40A9D638" w14:textId="1D629EF0" w:rsidR="00454FD6" w:rsidRPr="003E3DFC" w:rsidRDefault="00454FD6" w:rsidP="00454FD6">
      <w:pPr>
        <w:pStyle w:val="Caption"/>
        <w:rPr>
          <w:i w:val="0"/>
          <w:color w:val="auto"/>
          <w:sz w:val="24"/>
          <w:szCs w:val="24"/>
        </w:rPr>
      </w:pPr>
      <w:r w:rsidRPr="003E3DFC">
        <w:rPr>
          <w:i w:val="0"/>
          <w:color w:val="auto"/>
          <w:sz w:val="24"/>
          <w:szCs w:val="24"/>
        </w:rPr>
        <w:t xml:space="preserve">Figure </w:t>
      </w:r>
      <w:r w:rsidRPr="003E3DFC">
        <w:rPr>
          <w:i w:val="0"/>
          <w:color w:val="auto"/>
          <w:sz w:val="24"/>
          <w:szCs w:val="24"/>
        </w:rPr>
        <w:fldChar w:fldCharType="begin"/>
      </w:r>
      <w:r w:rsidRPr="003E3DFC">
        <w:rPr>
          <w:i w:val="0"/>
          <w:color w:val="auto"/>
          <w:sz w:val="24"/>
          <w:szCs w:val="24"/>
        </w:rPr>
        <w:instrText xml:space="preserve"> SEQ Figure \* ARABIC </w:instrText>
      </w:r>
      <w:r w:rsidRPr="003E3DFC">
        <w:rPr>
          <w:i w:val="0"/>
          <w:color w:val="auto"/>
          <w:sz w:val="24"/>
          <w:szCs w:val="24"/>
        </w:rPr>
        <w:fldChar w:fldCharType="separate"/>
      </w:r>
      <w:r w:rsidR="00DA3F02" w:rsidRPr="003E3DFC">
        <w:rPr>
          <w:i w:val="0"/>
          <w:noProof/>
          <w:color w:val="auto"/>
          <w:sz w:val="24"/>
          <w:szCs w:val="24"/>
        </w:rPr>
        <w:t>2</w:t>
      </w:r>
      <w:r w:rsidRPr="003E3DFC">
        <w:rPr>
          <w:i w:val="0"/>
          <w:color w:val="auto"/>
          <w:sz w:val="24"/>
          <w:szCs w:val="24"/>
        </w:rPr>
        <w:fldChar w:fldCharType="end"/>
      </w:r>
      <w:r w:rsidR="001F2A84" w:rsidRPr="003E3DFC">
        <w:rPr>
          <w:i w:val="0"/>
          <w:color w:val="auto"/>
          <w:sz w:val="24"/>
          <w:szCs w:val="24"/>
        </w:rPr>
        <w:t>: Female labour force p</w:t>
      </w:r>
      <w:r w:rsidRPr="003E3DFC">
        <w:rPr>
          <w:i w:val="0"/>
          <w:color w:val="auto"/>
          <w:sz w:val="24"/>
          <w:szCs w:val="24"/>
        </w:rPr>
        <w:t xml:space="preserve">articipation in </w:t>
      </w:r>
      <w:r w:rsidR="00511969" w:rsidRPr="003E3DFC">
        <w:rPr>
          <w:i w:val="0"/>
          <w:color w:val="auto"/>
          <w:sz w:val="24"/>
          <w:szCs w:val="24"/>
        </w:rPr>
        <w:t xml:space="preserve">selected </w:t>
      </w:r>
      <w:r w:rsidR="001F2A84" w:rsidRPr="003E3DFC">
        <w:rPr>
          <w:i w:val="0"/>
          <w:color w:val="auto"/>
          <w:sz w:val="24"/>
          <w:szCs w:val="24"/>
        </w:rPr>
        <w:t>Balkan c</w:t>
      </w:r>
      <w:r w:rsidRPr="003E3DFC">
        <w:rPr>
          <w:i w:val="0"/>
          <w:color w:val="auto"/>
          <w:sz w:val="24"/>
          <w:szCs w:val="24"/>
        </w:rPr>
        <w:t>ountries 2004-2013 (%)</w:t>
      </w:r>
    </w:p>
    <w:p w14:paraId="4E8C089F" w14:textId="72252E80" w:rsidR="005D3541" w:rsidRPr="003E3DFC" w:rsidRDefault="006C06C9" w:rsidP="00454FD6">
      <w:pPr>
        <w:pStyle w:val="NoSpacing"/>
        <w:rPr>
          <w:lang w:val="en-GB"/>
        </w:rPr>
      </w:pPr>
      <w:r w:rsidRPr="003E3DFC">
        <w:rPr>
          <w:noProof/>
          <w:lang w:val="bs-Latn-BA" w:eastAsia="bs-Latn-BA"/>
        </w:rPr>
        <w:lastRenderedPageBreak/>
        <w:drawing>
          <wp:inline distT="0" distB="0" distL="0" distR="0" wp14:anchorId="00D31D71" wp14:editId="6654AE66">
            <wp:extent cx="5976620" cy="2294890"/>
            <wp:effectExtent l="0" t="0" r="5080" b="0"/>
            <wp:docPr id="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339347" w14:textId="77777777" w:rsidR="00454FD6" w:rsidRPr="003E3DFC" w:rsidRDefault="00454FD6" w:rsidP="00454FD6">
      <w:pPr>
        <w:pStyle w:val="NoSpacing"/>
        <w:rPr>
          <w:lang w:val="en-GB"/>
        </w:rPr>
      </w:pPr>
      <w:r w:rsidRPr="003E3DFC">
        <w:rPr>
          <w:lang w:val="en-GB"/>
        </w:rPr>
        <w:t xml:space="preserve">Source: LFS, State Statistical Office of </w:t>
      </w:r>
      <w:r w:rsidR="00C30864" w:rsidRPr="003E3DFC">
        <w:rPr>
          <w:lang w:val="en-GB"/>
        </w:rPr>
        <w:t>R. of Macedonia</w:t>
      </w:r>
      <w:r w:rsidRPr="003E3DFC">
        <w:rPr>
          <w:lang w:val="en-GB"/>
        </w:rPr>
        <w:t xml:space="preserve"> and Eurostat</w:t>
      </w:r>
    </w:p>
    <w:p w14:paraId="6EA5EAA0" w14:textId="77777777" w:rsidR="00306A8D" w:rsidRPr="003E3DFC" w:rsidRDefault="00306A8D" w:rsidP="006303F6">
      <w:pPr>
        <w:pStyle w:val="NoSpacing"/>
        <w:rPr>
          <w:lang w:val="en-GB"/>
        </w:rPr>
      </w:pPr>
    </w:p>
    <w:p w14:paraId="6E26E240" w14:textId="6B3B4601" w:rsidR="006303F6" w:rsidRPr="003E3DFC" w:rsidRDefault="001F3D67" w:rsidP="006303F6">
      <w:pPr>
        <w:pStyle w:val="NoSpacing"/>
        <w:rPr>
          <w:lang w:val="en-GB"/>
        </w:rPr>
      </w:pPr>
      <w:r w:rsidRPr="003E3DFC">
        <w:rPr>
          <w:lang w:val="en-GB"/>
        </w:rPr>
        <w:t>The inactivity</w:t>
      </w:r>
      <w:r w:rsidR="00A80198" w:rsidRPr="003E3DFC">
        <w:rPr>
          <w:rStyle w:val="EndnoteReference"/>
          <w:lang w:val="en-GB"/>
        </w:rPr>
        <w:endnoteReference w:id="3"/>
      </w:r>
      <w:r w:rsidR="00A80198" w:rsidRPr="003E3DFC">
        <w:rPr>
          <w:lang w:val="en-GB"/>
        </w:rPr>
        <w:t xml:space="preserve"> </w:t>
      </w:r>
      <w:r w:rsidRPr="003E3DFC">
        <w:rPr>
          <w:lang w:val="en-GB"/>
        </w:rPr>
        <w:t xml:space="preserve">rate of females depicted in figure 3 as a percentage of the total population in </w:t>
      </w:r>
      <w:r w:rsidR="00C30864" w:rsidRPr="003E3DFC">
        <w:rPr>
          <w:lang w:val="en-GB"/>
        </w:rPr>
        <w:t>R. of Macedonia</w:t>
      </w:r>
      <w:r w:rsidRPr="003E3DFC">
        <w:rPr>
          <w:lang w:val="en-GB"/>
        </w:rPr>
        <w:t xml:space="preserve"> shows that female inactivity is twice as high as male inactivity in the country. Looking at the period 2006-2013, data shows that inactivity amongst both females and males is on the way down, but with a very slow and marginal downwards trend and an overall fall of app. 7% in both cases from 2006 to 2013. </w:t>
      </w:r>
    </w:p>
    <w:p w14:paraId="64C2A144" w14:textId="77777777" w:rsidR="006303F6" w:rsidRPr="003E3DFC" w:rsidRDefault="006303F6" w:rsidP="006303F6">
      <w:pPr>
        <w:pStyle w:val="NoSpacing"/>
        <w:rPr>
          <w:lang w:val="en-GB"/>
        </w:rPr>
      </w:pPr>
    </w:p>
    <w:p w14:paraId="19B19CD3" w14:textId="77777777" w:rsidR="00454FD6" w:rsidRPr="003E3DFC" w:rsidRDefault="00454FD6" w:rsidP="00454FD6">
      <w:pPr>
        <w:pStyle w:val="Caption"/>
        <w:rPr>
          <w:i w:val="0"/>
          <w:color w:val="auto"/>
          <w:sz w:val="24"/>
        </w:rPr>
      </w:pPr>
      <w:r w:rsidRPr="003E3DFC">
        <w:rPr>
          <w:i w:val="0"/>
          <w:color w:val="auto"/>
          <w:sz w:val="24"/>
        </w:rPr>
        <w:t xml:space="preserve">Figure </w:t>
      </w:r>
      <w:r w:rsidRPr="003E3DFC">
        <w:rPr>
          <w:i w:val="0"/>
          <w:color w:val="auto"/>
          <w:sz w:val="24"/>
        </w:rPr>
        <w:fldChar w:fldCharType="begin"/>
      </w:r>
      <w:r w:rsidRPr="003E3DFC">
        <w:rPr>
          <w:i w:val="0"/>
          <w:color w:val="auto"/>
          <w:sz w:val="24"/>
        </w:rPr>
        <w:instrText xml:space="preserve"> SEQ Figure \* ARABIC </w:instrText>
      </w:r>
      <w:r w:rsidRPr="003E3DFC">
        <w:rPr>
          <w:i w:val="0"/>
          <w:color w:val="auto"/>
          <w:sz w:val="24"/>
        </w:rPr>
        <w:fldChar w:fldCharType="separate"/>
      </w:r>
      <w:r w:rsidR="00DA3F02" w:rsidRPr="003E3DFC">
        <w:rPr>
          <w:i w:val="0"/>
          <w:noProof/>
          <w:color w:val="auto"/>
          <w:sz w:val="24"/>
        </w:rPr>
        <w:t>3</w:t>
      </w:r>
      <w:r w:rsidRPr="003E3DFC">
        <w:rPr>
          <w:i w:val="0"/>
          <w:color w:val="auto"/>
          <w:sz w:val="24"/>
        </w:rPr>
        <w:fldChar w:fldCharType="end"/>
      </w:r>
      <w:r w:rsidRPr="003E3DFC">
        <w:rPr>
          <w:i w:val="0"/>
          <w:color w:val="auto"/>
          <w:sz w:val="24"/>
        </w:rPr>
        <w:t xml:space="preserve">: Inactive Population as a Percentage of the Total Population in </w:t>
      </w:r>
      <w:r w:rsidR="00C30864" w:rsidRPr="003E3DFC">
        <w:rPr>
          <w:i w:val="0"/>
          <w:color w:val="auto"/>
          <w:sz w:val="24"/>
        </w:rPr>
        <w:t>R. of Macedonia</w:t>
      </w:r>
      <w:r w:rsidRPr="003E3DFC">
        <w:rPr>
          <w:i w:val="0"/>
          <w:color w:val="auto"/>
          <w:sz w:val="24"/>
        </w:rPr>
        <w:t xml:space="preserve"> by Gender (%)</w:t>
      </w:r>
    </w:p>
    <w:p w14:paraId="4DDA0C70" w14:textId="28AB6B97" w:rsidR="00454FD6" w:rsidRPr="003E3DFC" w:rsidRDefault="006C06C9" w:rsidP="00454FD6">
      <w:pPr>
        <w:pStyle w:val="NoSpacing"/>
        <w:rPr>
          <w:lang w:val="en-GB"/>
        </w:rPr>
      </w:pPr>
      <w:r w:rsidRPr="003E3DFC">
        <w:rPr>
          <w:noProof/>
          <w:lang w:val="bs-Latn-BA" w:eastAsia="bs-Latn-BA"/>
        </w:rPr>
        <w:drawing>
          <wp:inline distT="0" distB="0" distL="0" distR="0" wp14:anchorId="3E1D1A38" wp14:editId="4BCACB50">
            <wp:extent cx="5940425" cy="2061210"/>
            <wp:effectExtent l="0" t="0" r="3175" b="0"/>
            <wp:docPr id="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1C10F6" w14:textId="35038AC1" w:rsidR="001F3D67" w:rsidRPr="003E3DFC" w:rsidRDefault="00454FD6" w:rsidP="00FD701D">
      <w:pPr>
        <w:pStyle w:val="NoSpacing"/>
        <w:rPr>
          <w:lang w:val="en-GB"/>
        </w:rPr>
      </w:pPr>
      <w:r w:rsidRPr="003E3DFC">
        <w:rPr>
          <w:lang w:val="en-GB"/>
        </w:rPr>
        <w:t xml:space="preserve">Source: </w:t>
      </w:r>
      <w:r w:rsidR="00C319AE" w:rsidRPr="003E3DFC">
        <w:rPr>
          <w:lang w:val="en-GB"/>
        </w:rPr>
        <w:t xml:space="preserve">Author’s own work based on </w:t>
      </w:r>
      <w:r w:rsidRPr="003E3DFC">
        <w:rPr>
          <w:lang w:val="en-GB"/>
        </w:rPr>
        <w:t>LFS</w:t>
      </w:r>
      <w:r w:rsidR="00C319AE" w:rsidRPr="003E3DFC">
        <w:rPr>
          <w:lang w:val="en-GB"/>
        </w:rPr>
        <w:t xml:space="preserve"> data</w:t>
      </w:r>
      <w:r w:rsidRPr="003E3DFC">
        <w:rPr>
          <w:lang w:val="en-GB"/>
        </w:rPr>
        <w:t>, State Statist</w:t>
      </w:r>
      <w:r w:rsidR="00FD701D" w:rsidRPr="003E3DFC">
        <w:rPr>
          <w:lang w:val="en-GB"/>
        </w:rPr>
        <w:t xml:space="preserve">ical Office of the </w:t>
      </w:r>
      <w:r w:rsidR="00C30864" w:rsidRPr="003E3DFC">
        <w:rPr>
          <w:lang w:val="en-GB"/>
        </w:rPr>
        <w:t>R. of Macedonia</w:t>
      </w:r>
    </w:p>
    <w:p w14:paraId="6CC372E6" w14:textId="77777777" w:rsidR="00FD701D" w:rsidRPr="003E3DFC" w:rsidRDefault="00FD701D" w:rsidP="00FD701D">
      <w:pPr>
        <w:pStyle w:val="NoSpacing"/>
        <w:rPr>
          <w:lang w:val="en-GB"/>
        </w:rPr>
      </w:pPr>
    </w:p>
    <w:p w14:paraId="211BD0FA" w14:textId="49103D79" w:rsidR="00FD701D" w:rsidRPr="003E3DFC" w:rsidRDefault="00C51BAC" w:rsidP="006303F6">
      <w:pPr>
        <w:pStyle w:val="NoSpacing"/>
        <w:rPr>
          <w:szCs w:val="24"/>
          <w:lang w:val="en-GB"/>
        </w:rPr>
      </w:pPr>
      <w:r w:rsidRPr="003E3DFC">
        <w:rPr>
          <w:szCs w:val="24"/>
          <w:lang w:val="en-GB"/>
        </w:rPr>
        <w:t xml:space="preserve">According to </w:t>
      </w:r>
      <w:r w:rsidR="00FD701D" w:rsidRPr="003E3DFC">
        <w:rPr>
          <w:szCs w:val="24"/>
          <w:lang w:val="en-GB"/>
        </w:rPr>
        <w:t>data, f</w:t>
      </w:r>
      <w:r w:rsidR="00AE4FFE" w:rsidRPr="003E3DFC">
        <w:rPr>
          <w:szCs w:val="24"/>
          <w:lang w:val="en-GB"/>
        </w:rPr>
        <w:t xml:space="preserve">emale inactivity in </w:t>
      </w:r>
      <w:r w:rsidR="00C30864" w:rsidRPr="003E3DFC">
        <w:rPr>
          <w:szCs w:val="24"/>
          <w:lang w:val="en-GB"/>
        </w:rPr>
        <w:t>R. of Macedonia</w:t>
      </w:r>
      <w:r w:rsidR="00AE4FFE" w:rsidRPr="003E3DFC">
        <w:rPr>
          <w:szCs w:val="24"/>
          <w:lang w:val="en-GB"/>
        </w:rPr>
        <w:t xml:space="preserve"> </w:t>
      </w:r>
      <w:r w:rsidR="00FD701D" w:rsidRPr="003E3DFC">
        <w:rPr>
          <w:szCs w:val="24"/>
          <w:lang w:val="en-GB"/>
        </w:rPr>
        <w:t xml:space="preserve">is </w:t>
      </w:r>
      <w:r w:rsidR="00AE4FFE" w:rsidRPr="003E3DFC">
        <w:rPr>
          <w:szCs w:val="24"/>
          <w:lang w:val="en-GB"/>
        </w:rPr>
        <w:t xml:space="preserve">mostly </w:t>
      </w:r>
      <w:r w:rsidR="00C319AE" w:rsidRPr="003E3DFC">
        <w:rPr>
          <w:szCs w:val="24"/>
          <w:lang w:val="en-GB"/>
        </w:rPr>
        <w:t>resulting from</w:t>
      </w:r>
      <w:r w:rsidR="00AE4FFE" w:rsidRPr="003E3DFC">
        <w:rPr>
          <w:szCs w:val="24"/>
          <w:lang w:val="en-GB"/>
        </w:rPr>
        <w:t xml:space="preserve"> household responsibilities and secondly </w:t>
      </w:r>
      <w:r w:rsidR="00C319AE" w:rsidRPr="003E3DFC">
        <w:rPr>
          <w:szCs w:val="24"/>
          <w:lang w:val="en-GB"/>
        </w:rPr>
        <w:t xml:space="preserve">as a result of undergoing </w:t>
      </w:r>
      <w:r w:rsidR="00AE4FFE" w:rsidRPr="003E3DFC">
        <w:rPr>
          <w:szCs w:val="24"/>
          <w:lang w:val="en-GB"/>
        </w:rPr>
        <w:t>education and training</w:t>
      </w:r>
      <w:r w:rsidR="00FD701D" w:rsidRPr="003E3DFC">
        <w:rPr>
          <w:szCs w:val="24"/>
          <w:lang w:val="en-GB"/>
        </w:rPr>
        <w:t xml:space="preserve"> (table 1)</w:t>
      </w:r>
      <w:r w:rsidR="00AE4FFE" w:rsidRPr="003E3DFC">
        <w:rPr>
          <w:szCs w:val="24"/>
          <w:lang w:val="en-GB"/>
        </w:rPr>
        <w:t>.</w:t>
      </w:r>
      <w:r w:rsidR="00FD701D" w:rsidRPr="003E3DFC">
        <w:rPr>
          <w:szCs w:val="24"/>
          <w:lang w:val="en-GB"/>
        </w:rPr>
        <w:t xml:space="preserve"> While</w:t>
      </w:r>
      <w:r w:rsidR="00C319AE" w:rsidRPr="003E3DFC">
        <w:rPr>
          <w:szCs w:val="24"/>
          <w:lang w:val="en-GB"/>
        </w:rPr>
        <w:t>,</w:t>
      </w:r>
      <w:r w:rsidR="00FD701D" w:rsidRPr="003E3DFC">
        <w:rPr>
          <w:szCs w:val="24"/>
          <w:lang w:val="en-GB"/>
        </w:rPr>
        <w:t xml:space="preserve"> female inactivity in benchmark countries (table 1) can be explained primarily due to education and training and secondly to retirement</w:t>
      </w:r>
      <w:r w:rsidR="00C319AE" w:rsidRPr="003E3DFC">
        <w:rPr>
          <w:szCs w:val="24"/>
          <w:lang w:val="en-GB"/>
        </w:rPr>
        <w:t>;</w:t>
      </w:r>
      <w:r w:rsidR="00FD701D" w:rsidRPr="003E3DFC">
        <w:rPr>
          <w:szCs w:val="24"/>
          <w:lang w:val="en-GB"/>
        </w:rPr>
        <w:t xml:space="preserve"> indicating </w:t>
      </w:r>
      <w:r w:rsidR="00C319AE" w:rsidRPr="003E3DFC">
        <w:rPr>
          <w:szCs w:val="24"/>
          <w:lang w:val="en-GB"/>
        </w:rPr>
        <w:t>a</w:t>
      </w:r>
      <w:r w:rsidR="00FD701D" w:rsidRPr="003E3DFC">
        <w:rPr>
          <w:szCs w:val="24"/>
          <w:lang w:val="en-GB"/>
        </w:rPr>
        <w:t xml:space="preserve"> much older female population in these countries compared to </w:t>
      </w:r>
      <w:r w:rsidR="00C30864" w:rsidRPr="003E3DFC">
        <w:rPr>
          <w:szCs w:val="24"/>
          <w:lang w:val="en-GB"/>
        </w:rPr>
        <w:t>R. of Macedonia</w:t>
      </w:r>
      <w:r w:rsidR="00FD701D" w:rsidRPr="003E3DFC">
        <w:rPr>
          <w:szCs w:val="24"/>
          <w:lang w:val="en-GB"/>
        </w:rPr>
        <w:t>.</w:t>
      </w:r>
      <w:r w:rsidR="004B3E09" w:rsidRPr="003E3DFC">
        <w:rPr>
          <w:szCs w:val="24"/>
          <w:lang w:val="en-GB"/>
        </w:rPr>
        <w:t xml:space="preserve"> </w:t>
      </w:r>
      <w:r w:rsidR="000C3304" w:rsidRPr="003E3DFC">
        <w:rPr>
          <w:szCs w:val="24"/>
          <w:lang w:val="en-GB"/>
        </w:rPr>
        <w:t>As reported by the</w:t>
      </w:r>
      <w:r w:rsidR="004B3E09" w:rsidRPr="003E3DFC">
        <w:rPr>
          <w:szCs w:val="24"/>
          <w:lang w:val="en-GB"/>
        </w:rPr>
        <w:t xml:space="preserve"> World Bank (2008), who has studied female</w:t>
      </w:r>
      <w:r w:rsidR="00745AB3" w:rsidRPr="003E3DFC">
        <w:rPr>
          <w:szCs w:val="24"/>
          <w:lang w:val="en-GB"/>
        </w:rPr>
        <w:t xml:space="preserve"> inactivity at sub-group level in </w:t>
      </w:r>
      <w:r w:rsidR="00C30864" w:rsidRPr="003E3DFC">
        <w:rPr>
          <w:szCs w:val="24"/>
          <w:lang w:val="en-GB"/>
        </w:rPr>
        <w:t>R. of Macedonia</w:t>
      </w:r>
      <w:r w:rsidR="00745AB3" w:rsidRPr="003E3DFC">
        <w:rPr>
          <w:szCs w:val="24"/>
          <w:lang w:val="en-GB"/>
        </w:rPr>
        <w:t>, the large share of females who are inactive due to household activities can mainly be attributed to a large number of full-time housewives among women who are less educated and live in rural areas</w:t>
      </w:r>
      <w:r w:rsidR="00BD766D" w:rsidRPr="003E3DFC">
        <w:rPr>
          <w:szCs w:val="24"/>
          <w:lang w:val="en-GB"/>
        </w:rPr>
        <w:t xml:space="preserve">. </w:t>
      </w:r>
    </w:p>
    <w:p w14:paraId="432CBE31" w14:textId="77777777" w:rsidR="00BD766D" w:rsidRPr="003E3DFC" w:rsidRDefault="00BD766D" w:rsidP="006303F6">
      <w:pPr>
        <w:pStyle w:val="NoSpacing"/>
        <w:rPr>
          <w:szCs w:val="24"/>
          <w:lang w:val="en-GB"/>
        </w:rPr>
      </w:pPr>
    </w:p>
    <w:p w14:paraId="2689408F" w14:textId="03169114" w:rsidR="00454FD6" w:rsidRPr="003E3DFC" w:rsidRDefault="00AE4FFE" w:rsidP="00AE4FFE">
      <w:pPr>
        <w:pStyle w:val="Caption"/>
        <w:rPr>
          <w:i w:val="0"/>
          <w:color w:val="auto"/>
          <w:sz w:val="24"/>
        </w:rPr>
      </w:pPr>
      <w:r w:rsidRPr="003E3DFC">
        <w:rPr>
          <w:i w:val="0"/>
          <w:color w:val="auto"/>
          <w:sz w:val="24"/>
        </w:rPr>
        <w:lastRenderedPageBreak/>
        <w:t xml:space="preserve">Table </w:t>
      </w:r>
      <w:r w:rsidRPr="003E3DFC">
        <w:rPr>
          <w:i w:val="0"/>
          <w:color w:val="auto"/>
          <w:sz w:val="24"/>
        </w:rPr>
        <w:fldChar w:fldCharType="begin"/>
      </w:r>
      <w:r w:rsidRPr="003E3DFC">
        <w:rPr>
          <w:i w:val="0"/>
          <w:color w:val="auto"/>
          <w:sz w:val="24"/>
        </w:rPr>
        <w:instrText xml:space="preserve"> SEQ Table \* ARABIC </w:instrText>
      </w:r>
      <w:r w:rsidRPr="003E3DFC">
        <w:rPr>
          <w:i w:val="0"/>
          <w:color w:val="auto"/>
          <w:sz w:val="24"/>
        </w:rPr>
        <w:fldChar w:fldCharType="separate"/>
      </w:r>
      <w:r w:rsidR="00F625BB" w:rsidRPr="003E3DFC">
        <w:rPr>
          <w:i w:val="0"/>
          <w:noProof/>
          <w:color w:val="auto"/>
          <w:sz w:val="24"/>
        </w:rPr>
        <w:t>1</w:t>
      </w:r>
      <w:r w:rsidRPr="003E3DFC">
        <w:rPr>
          <w:i w:val="0"/>
          <w:color w:val="auto"/>
          <w:sz w:val="24"/>
        </w:rPr>
        <w:fldChar w:fldCharType="end"/>
      </w:r>
      <w:r w:rsidR="00C319AE" w:rsidRPr="003E3DFC">
        <w:rPr>
          <w:i w:val="0"/>
          <w:color w:val="auto"/>
          <w:sz w:val="24"/>
        </w:rPr>
        <w:t>: Inactive f</w:t>
      </w:r>
      <w:r w:rsidRPr="003E3DFC">
        <w:rPr>
          <w:i w:val="0"/>
          <w:color w:val="auto"/>
          <w:sz w:val="24"/>
        </w:rPr>
        <w:t>emale population - Main reason</w:t>
      </w:r>
      <w:r w:rsidR="00511969" w:rsidRPr="003E3DFC">
        <w:rPr>
          <w:i w:val="0"/>
          <w:color w:val="auto"/>
          <w:sz w:val="24"/>
        </w:rPr>
        <w:t>s</w:t>
      </w:r>
      <w:r w:rsidRPr="003E3DFC">
        <w:rPr>
          <w:i w:val="0"/>
          <w:color w:val="auto"/>
          <w:sz w:val="24"/>
        </w:rPr>
        <w:t xml:space="preserve"> for not seeking employment in </w:t>
      </w:r>
      <w:r w:rsidR="00511969" w:rsidRPr="003E3DFC">
        <w:rPr>
          <w:i w:val="0"/>
          <w:color w:val="auto"/>
          <w:sz w:val="24"/>
        </w:rPr>
        <w:t xml:space="preserve">selected </w:t>
      </w:r>
      <w:r w:rsidR="00C319AE" w:rsidRPr="003E3DFC">
        <w:rPr>
          <w:i w:val="0"/>
          <w:color w:val="auto"/>
          <w:sz w:val="24"/>
        </w:rPr>
        <w:t>Balkan c</w:t>
      </w:r>
      <w:r w:rsidRPr="003E3DFC">
        <w:rPr>
          <w:i w:val="0"/>
          <w:color w:val="auto"/>
          <w:sz w:val="24"/>
        </w:rPr>
        <w:t>ountries in 2013 (%)</w:t>
      </w:r>
    </w:p>
    <w:tbl>
      <w:tblPr>
        <w:tblW w:w="5000" w:type="pct"/>
        <w:tblLayout w:type="fixed"/>
        <w:tblCellMar>
          <w:left w:w="0" w:type="dxa"/>
          <w:right w:w="0" w:type="dxa"/>
        </w:tblCellMar>
        <w:tblLook w:val="04A0" w:firstRow="1" w:lastRow="0" w:firstColumn="1" w:lastColumn="0" w:noHBand="0" w:noVBand="1"/>
      </w:tblPr>
      <w:tblGrid>
        <w:gridCol w:w="1253"/>
        <w:gridCol w:w="1259"/>
        <w:gridCol w:w="943"/>
        <w:gridCol w:w="1125"/>
        <w:gridCol w:w="1259"/>
        <w:gridCol w:w="990"/>
        <w:gridCol w:w="811"/>
        <w:gridCol w:w="904"/>
        <w:gridCol w:w="796"/>
      </w:tblGrid>
      <w:tr w:rsidR="00D10332" w:rsidRPr="003E3DFC" w14:paraId="68FA28E8" w14:textId="77777777" w:rsidTr="00D10332">
        <w:trPr>
          <w:trHeight w:val="288"/>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14:paraId="7A7E70DB" w14:textId="4B0EAE83" w:rsidR="00454FD6" w:rsidRPr="003E3DFC" w:rsidRDefault="00454FD6" w:rsidP="00AE4FFE">
            <w:pPr>
              <w:pStyle w:val="NoSpacing"/>
              <w:jc w:val="center"/>
              <w:rPr>
                <w:b/>
                <w:sz w:val="22"/>
                <w:szCs w:val="20"/>
                <w:lang w:val="en-GB"/>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14:paraId="1091C871" w14:textId="77777777" w:rsidR="00D10332" w:rsidRPr="003E3DFC" w:rsidRDefault="00454FD6" w:rsidP="00AE4FFE">
            <w:pPr>
              <w:pStyle w:val="NoSpacing"/>
              <w:jc w:val="center"/>
              <w:rPr>
                <w:b/>
                <w:sz w:val="22"/>
                <w:szCs w:val="20"/>
                <w:lang w:val="en-GB"/>
              </w:rPr>
            </w:pPr>
            <w:r w:rsidRPr="003E3DFC">
              <w:rPr>
                <w:b/>
                <w:sz w:val="22"/>
                <w:szCs w:val="20"/>
                <w:lang w:val="en-GB"/>
              </w:rPr>
              <w:t xml:space="preserve">Awaiting recall to work </w:t>
            </w:r>
          </w:p>
          <w:p w14:paraId="5FBC89A0" w14:textId="43C353D1" w:rsidR="00454FD6" w:rsidRPr="003E3DFC" w:rsidRDefault="00454FD6" w:rsidP="00AE4FFE">
            <w:pPr>
              <w:pStyle w:val="NoSpacing"/>
              <w:jc w:val="center"/>
              <w:rPr>
                <w:b/>
                <w:sz w:val="22"/>
                <w:szCs w:val="20"/>
                <w:lang w:val="en-GB"/>
              </w:rPr>
            </w:pPr>
            <w:r w:rsidRPr="003E3DFC">
              <w:rPr>
                <w:b/>
                <w:sz w:val="22"/>
                <w:szCs w:val="20"/>
                <w:lang w:val="en-GB"/>
              </w:rPr>
              <w:t>(on lay-off)</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14:paraId="5EF8B9EE" w14:textId="77777777" w:rsidR="00454FD6" w:rsidRPr="003E3DFC" w:rsidRDefault="00454FD6" w:rsidP="00AE4FFE">
            <w:pPr>
              <w:pStyle w:val="NoSpacing"/>
              <w:jc w:val="center"/>
              <w:rPr>
                <w:b/>
                <w:sz w:val="22"/>
                <w:szCs w:val="20"/>
                <w:lang w:val="en-GB"/>
              </w:rPr>
            </w:pPr>
            <w:r w:rsidRPr="003E3DFC">
              <w:rPr>
                <w:b/>
                <w:sz w:val="22"/>
                <w:szCs w:val="20"/>
                <w:lang w:val="en-GB"/>
              </w:rPr>
              <w:t>Own illness or disability</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14:paraId="0701D481" w14:textId="7FA5C736" w:rsidR="00454FD6" w:rsidRPr="003E3DFC" w:rsidRDefault="00454FD6" w:rsidP="00D10332">
            <w:pPr>
              <w:pStyle w:val="NoSpacing"/>
              <w:jc w:val="center"/>
              <w:rPr>
                <w:b/>
                <w:sz w:val="22"/>
                <w:szCs w:val="20"/>
                <w:lang w:val="en-GB"/>
              </w:rPr>
            </w:pPr>
            <w:r w:rsidRPr="003E3DFC">
              <w:rPr>
                <w:b/>
                <w:sz w:val="22"/>
                <w:szCs w:val="20"/>
                <w:lang w:val="en-GB"/>
              </w:rPr>
              <w:t>Other family</w:t>
            </w:r>
            <w:r w:rsidR="00D10332" w:rsidRPr="003E3DFC">
              <w:rPr>
                <w:b/>
                <w:sz w:val="22"/>
                <w:szCs w:val="20"/>
                <w:lang w:val="en-GB"/>
              </w:rPr>
              <w:t>/</w:t>
            </w:r>
            <w:r w:rsidRPr="003E3DFC">
              <w:rPr>
                <w:b/>
                <w:sz w:val="22"/>
                <w:szCs w:val="20"/>
                <w:lang w:val="en-GB"/>
              </w:rPr>
              <w:t xml:space="preserve"> personal </w:t>
            </w:r>
            <w:r w:rsidR="00D10332" w:rsidRPr="003E3DFC">
              <w:rPr>
                <w:b/>
                <w:sz w:val="22"/>
                <w:szCs w:val="20"/>
                <w:lang w:val="en-GB"/>
              </w:rPr>
              <w:t>responsibilities</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14:paraId="6C4201B2" w14:textId="77777777" w:rsidR="00454FD6" w:rsidRPr="003E3DFC" w:rsidRDefault="00454FD6" w:rsidP="00AE4FFE">
            <w:pPr>
              <w:pStyle w:val="NoSpacing"/>
              <w:jc w:val="center"/>
              <w:rPr>
                <w:b/>
                <w:sz w:val="22"/>
                <w:szCs w:val="20"/>
                <w:lang w:val="en-GB"/>
              </w:rPr>
            </w:pPr>
            <w:r w:rsidRPr="003E3DFC">
              <w:rPr>
                <w:b/>
                <w:sz w:val="22"/>
                <w:szCs w:val="20"/>
                <w:lang w:val="en-GB"/>
              </w:rPr>
              <w:t>Looking after children or incapacitated adults</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14:paraId="3B4809A4" w14:textId="60A312BB" w:rsidR="00454FD6" w:rsidRPr="003E3DFC" w:rsidRDefault="00D10332" w:rsidP="00AE4FFE">
            <w:pPr>
              <w:pStyle w:val="NoSpacing"/>
              <w:jc w:val="center"/>
              <w:rPr>
                <w:b/>
                <w:sz w:val="22"/>
                <w:szCs w:val="20"/>
                <w:lang w:val="en-GB"/>
              </w:rPr>
            </w:pPr>
            <w:r w:rsidRPr="003E3DFC">
              <w:rPr>
                <w:b/>
                <w:sz w:val="22"/>
                <w:szCs w:val="20"/>
                <w:lang w:val="en-GB"/>
              </w:rPr>
              <w:t>Pursuing education/</w:t>
            </w:r>
            <w:r w:rsidR="00454FD6" w:rsidRPr="003E3DFC">
              <w:rPr>
                <w:b/>
                <w:sz w:val="22"/>
                <w:szCs w:val="20"/>
                <w:lang w:val="en-GB"/>
              </w:rPr>
              <w:t>training</w:t>
            </w:r>
          </w:p>
        </w:tc>
        <w:tc>
          <w:tcPr>
            <w:tcW w:w="43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14:paraId="55A6BBB5" w14:textId="77777777" w:rsidR="00454FD6" w:rsidRPr="003E3DFC" w:rsidRDefault="00454FD6" w:rsidP="00AE4FFE">
            <w:pPr>
              <w:pStyle w:val="NoSpacing"/>
              <w:jc w:val="center"/>
              <w:rPr>
                <w:b/>
                <w:sz w:val="22"/>
                <w:szCs w:val="20"/>
                <w:lang w:val="en-GB"/>
              </w:rPr>
            </w:pPr>
            <w:r w:rsidRPr="003E3DFC">
              <w:rPr>
                <w:b/>
                <w:sz w:val="22"/>
                <w:szCs w:val="20"/>
                <w:lang w:val="en-GB"/>
              </w:rPr>
              <w:t>Retired</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14:paraId="787BF481" w14:textId="7808C9AA" w:rsidR="00454FD6" w:rsidRPr="003E3DFC" w:rsidRDefault="00D10332" w:rsidP="00AE4FFE">
            <w:pPr>
              <w:pStyle w:val="NoSpacing"/>
              <w:jc w:val="center"/>
              <w:rPr>
                <w:b/>
                <w:sz w:val="22"/>
                <w:szCs w:val="20"/>
                <w:lang w:val="en-GB"/>
              </w:rPr>
            </w:pPr>
            <w:r w:rsidRPr="003E3DFC">
              <w:rPr>
                <w:b/>
                <w:sz w:val="22"/>
                <w:szCs w:val="20"/>
                <w:lang w:val="en-GB"/>
              </w:rPr>
              <w:t xml:space="preserve">Believes </w:t>
            </w:r>
            <w:r w:rsidR="00454FD6" w:rsidRPr="003E3DFC">
              <w:rPr>
                <w:b/>
                <w:sz w:val="22"/>
                <w:szCs w:val="20"/>
                <w:lang w:val="en-GB"/>
              </w:rPr>
              <w:t xml:space="preserve"> no work is available</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14:paraId="465FEC54" w14:textId="77777777" w:rsidR="00454FD6" w:rsidRPr="003E3DFC" w:rsidRDefault="00454FD6" w:rsidP="00AE4FFE">
            <w:pPr>
              <w:pStyle w:val="NoSpacing"/>
              <w:jc w:val="center"/>
              <w:rPr>
                <w:b/>
                <w:sz w:val="22"/>
                <w:szCs w:val="20"/>
                <w:lang w:val="en-GB"/>
              </w:rPr>
            </w:pPr>
            <w:r w:rsidRPr="003E3DFC">
              <w:rPr>
                <w:b/>
                <w:sz w:val="22"/>
                <w:szCs w:val="20"/>
                <w:lang w:val="en-GB"/>
              </w:rPr>
              <w:t>Other reasons</w:t>
            </w:r>
          </w:p>
        </w:tc>
      </w:tr>
      <w:tr w:rsidR="00D10332" w:rsidRPr="003E3DFC" w14:paraId="0DCA1B29" w14:textId="77777777" w:rsidTr="00D10332">
        <w:trPr>
          <w:trHeight w:val="288"/>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600036AE" w14:textId="77777777" w:rsidR="00454FD6" w:rsidRPr="003E3DFC" w:rsidRDefault="00454FD6" w:rsidP="00454FD6">
            <w:pPr>
              <w:pStyle w:val="NoSpacing"/>
              <w:jc w:val="left"/>
              <w:rPr>
                <w:b/>
                <w:szCs w:val="20"/>
                <w:lang w:val="en-GB"/>
              </w:rPr>
            </w:pPr>
            <w:r w:rsidRPr="003E3DFC">
              <w:rPr>
                <w:b/>
                <w:szCs w:val="20"/>
                <w:lang w:val="en-GB"/>
              </w:rPr>
              <w:t>Bulgaria</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033E885B" w14:textId="77777777" w:rsidR="00454FD6" w:rsidRPr="003E3DFC" w:rsidRDefault="00454FD6" w:rsidP="00454FD6">
            <w:pPr>
              <w:pStyle w:val="NoSpacing"/>
              <w:jc w:val="center"/>
              <w:rPr>
                <w:szCs w:val="20"/>
                <w:lang w:val="en-GB"/>
              </w:rPr>
            </w:pPr>
            <w:r w:rsidRPr="003E3DFC">
              <w:rPr>
                <w:szCs w:val="20"/>
                <w:lang w:val="en-GB"/>
              </w:rPr>
              <w:t>0.9</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1101C80E" w14:textId="77777777" w:rsidR="00454FD6" w:rsidRPr="003E3DFC" w:rsidRDefault="00454FD6" w:rsidP="00454FD6">
            <w:pPr>
              <w:pStyle w:val="NoSpacing"/>
              <w:jc w:val="center"/>
              <w:rPr>
                <w:szCs w:val="20"/>
                <w:lang w:val="en-GB"/>
              </w:rPr>
            </w:pPr>
            <w:r w:rsidRPr="003E3DFC">
              <w:rPr>
                <w:szCs w:val="20"/>
                <w:lang w:val="en-GB"/>
              </w:rPr>
              <w:t>11.9</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0C646F06" w14:textId="77777777" w:rsidR="00454FD6" w:rsidRPr="003E3DFC" w:rsidRDefault="00454FD6" w:rsidP="00454FD6">
            <w:pPr>
              <w:pStyle w:val="NoSpacing"/>
              <w:jc w:val="center"/>
              <w:rPr>
                <w:szCs w:val="20"/>
                <w:lang w:val="en-GB"/>
              </w:rPr>
            </w:pPr>
            <w:r w:rsidRPr="003E3DFC">
              <w:rPr>
                <w:szCs w:val="20"/>
                <w:lang w:val="en-GB"/>
              </w:rPr>
              <w:t>10.2</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0403EA90" w14:textId="77777777" w:rsidR="00454FD6" w:rsidRPr="003E3DFC" w:rsidRDefault="00454FD6" w:rsidP="00454FD6">
            <w:pPr>
              <w:pStyle w:val="NoSpacing"/>
              <w:jc w:val="center"/>
              <w:rPr>
                <w:szCs w:val="20"/>
                <w:lang w:val="en-GB"/>
              </w:rPr>
            </w:pPr>
            <w:r w:rsidRPr="003E3DFC">
              <w:rPr>
                <w:szCs w:val="20"/>
                <w:lang w:val="en-GB"/>
              </w:rPr>
              <w:t>13.3</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254A3E53" w14:textId="77777777" w:rsidR="00454FD6" w:rsidRPr="003E3DFC" w:rsidRDefault="00454FD6" w:rsidP="00454FD6">
            <w:pPr>
              <w:pStyle w:val="NoSpacing"/>
              <w:jc w:val="center"/>
              <w:rPr>
                <w:szCs w:val="20"/>
                <w:lang w:val="en-GB"/>
              </w:rPr>
            </w:pPr>
            <w:r w:rsidRPr="003E3DFC">
              <w:rPr>
                <w:szCs w:val="20"/>
                <w:lang w:val="en-GB"/>
              </w:rPr>
              <w:t>28.4</w:t>
            </w:r>
          </w:p>
        </w:tc>
        <w:tc>
          <w:tcPr>
            <w:tcW w:w="43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2C45CFD8" w14:textId="77777777" w:rsidR="00454FD6" w:rsidRPr="003E3DFC" w:rsidRDefault="00454FD6" w:rsidP="00454FD6">
            <w:pPr>
              <w:pStyle w:val="NoSpacing"/>
              <w:jc w:val="center"/>
              <w:rPr>
                <w:szCs w:val="20"/>
                <w:lang w:val="en-GB"/>
              </w:rPr>
            </w:pPr>
            <w:r w:rsidRPr="003E3DFC">
              <w:rPr>
                <w:szCs w:val="20"/>
                <w:lang w:val="en-GB"/>
              </w:rPr>
              <w:t>19.4</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0D435535" w14:textId="77777777" w:rsidR="00454FD6" w:rsidRPr="003E3DFC" w:rsidRDefault="00454FD6" w:rsidP="00454FD6">
            <w:pPr>
              <w:pStyle w:val="NoSpacing"/>
              <w:jc w:val="center"/>
              <w:rPr>
                <w:szCs w:val="20"/>
                <w:lang w:val="en-GB"/>
              </w:rPr>
            </w:pPr>
            <w:r w:rsidRPr="003E3DFC">
              <w:rPr>
                <w:szCs w:val="20"/>
                <w:lang w:val="en-GB"/>
              </w:rPr>
              <w:t>11.6</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6B288D85" w14:textId="77777777" w:rsidR="00454FD6" w:rsidRPr="003E3DFC" w:rsidRDefault="00454FD6" w:rsidP="00454FD6">
            <w:pPr>
              <w:pStyle w:val="NoSpacing"/>
              <w:jc w:val="center"/>
              <w:rPr>
                <w:szCs w:val="20"/>
                <w:lang w:val="en-GB"/>
              </w:rPr>
            </w:pPr>
            <w:r w:rsidRPr="003E3DFC">
              <w:rPr>
                <w:szCs w:val="20"/>
                <w:lang w:val="en-GB"/>
              </w:rPr>
              <w:t>4.2</w:t>
            </w:r>
          </w:p>
        </w:tc>
      </w:tr>
      <w:tr w:rsidR="00D10332" w:rsidRPr="003E3DFC" w14:paraId="75A81153" w14:textId="77777777" w:rsidTr="00D10332">
        <w:trPr>
          <w:trHeight w:val="288"/>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1D80A07B" w14:textId="77777777" w:rsidR="00454FD6" w:rsidRPr="003E3DFC" w:rsidRDefault="00454FD6" w:rsidP="00454FD6">
            <w:pPr>
              <w:pStyle w:val="NoSpacing"/>
              <w:jc w:val="left"/>
              <w:rPr>
                <w:b/>
                <w:szCs w:val="20"/>
                <w:lang w:val="en-GB"/>
              </w:rPr>
            </w:pPr>
            <w:r w:rsidRPr="003E3DFC">
              <w:rPr>
                <w:b/>
                <w:szCs w:val="20"/>
                <w:lang w:val="en-GB"/>
              </w:rPr>
              <w:t>Greece</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6A994514" w14:textId="77777777" w:rsidR="00454FD6" w:rsidRPr="003E3DFC" w:rsidRDefault="00454FD6" w:rsidP="00454FD6">
            <w:pPr>
              <w:pStyle w:val="NoSpacing"/>
              <w:jc w:val="center"/>
              <w:rPr>
                <w:szCs w:val="20"/>
                <w:lang w:val="en-GB"/>
              </w:rPr>
            </w:pPr>
            <w:r w:rsidRPr="003E3DFC">
              <w:rPr>
                <w:szCs w:val="20"/>
                <w:lang w:val="en-GB"/>
              </w:rPr>
              <w:t>:</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14FC0B87" w14:textId="77777777" w:rsidR="00454FD6" w:rsidRPr="003E3DFC" w:rsidRDefault="00454FD6" w:rsidP="00454FD6">
            <w:pPr>
              <w:pStyle w:val="NoSpacing"/>
              <w:jc w:val="center"/>
              <w:rPr>
                <w:szCs w:val="20"/>
                <w:lang w:val="en-GB"/>
              </w:rPr>
            </w:pPr>
            <w:r w:rsidRPr="003E3DFC">
              <w:rPr>
                <w:szCs w:val="20"/>
                <w:lang w:val="en-GB"/>
              </w:rPr>
              <w:t>4.3</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2452E5CE" w14:textId="77777777" w:rsidR="00454FD6" w:rsidRPr="003E3DFC" w:rsidRDefault="00454FD6" w:rsidP="00454FD6">
            <w:pPr>
              <w:pStyle w:val="NoSpacing"/>
              <w:jc w:val="center"/>
              <w:rPr>
                <w:szCs w:val="20"/>
                <w:lang w:val="en-GB"/>
              </w:rPr>
            </w:pPr>
            <w:r w:rsidRPr="003E3DFC">
              <w:rPr>
                <w:szCs w:val="20"/>
                <w:lang w:val="en-GB"/>
              </w:rPr>
              <w:t>18.0</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1B46C650" w14:textId="77777777" w:rsidR="00454FD6" w:rsidRPr="003E3DFC" w:rsidRDefault="00454FD6" w:rsidP="00454FD6">
            <w:pPr>
              <w:pStyle w:val="NoSpacing"/>
              <w:jc w:val="center"/>
              <w:rPr>
                <w:szCs w:val="20"/>
                <w:lang w:val="en-GB"/>
              </w:rPr>
            </w:pPr>
            <w:r w:rsidRPr="003E3DFC">
              <w:rPr>
                <w:szCs w:val="20"/>
                <w:lang w:val="en-GB"/>
              </w:rPr>
              <w:t>7.8</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0532A091" w14:textId="77777777" w:rsidR="00454FD6" w:rsidRPr="003E3DFC" w:rsidRDefault="00454FD6" w:rsidP="00454FD6">
            <w:pPr>
              <w:pStyle w:val="NoSpacing"/>
              <w:jc w:val="center"/>
              <w:rPr>
                <w:szCs w:val="20"/>
                <w:lang w:val="en-GB"/>
              </w:rPr>
            </w:pPr>
            <w:r w:rsidRPr="003E3DFC">
              <w:rPr>
                <w:szCs w:val="20"/>
                <w:lang w:val="en-GB"/>
              </w:rPr>
              <w:t>27.7</w:t>
            </w:r>
          </w:p>
        </w:tc>
        <w:tc>
          <w:tcPr>
            <w:tcW w:w="43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02468251" w14:textId="77777777" w:rsidR="00454FD6" w:rsidRPr="003E3DFC" w:rsidRDefault="00454FD6" w:rsidP="00454FD6">
            <w:pPr>
              <w:pStyle w:val="NoSpacing"/>
              <w:jc w:val="center"/>
              <w:rPr>
                <w:szCs w:val="20"/>
                <w:lang w:val="en-GB"/>
              </w:rPr>
            </w:pPr>
            <w:r w:rsidRPr="003E3DFC">
              <w:rPr>
                <w:szCs w:val="20"/>
                <w:lang w:val="en-GB"/>
              </w:rPr>
              <w:t>16.0</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66021445" w14:textId="77777777" w:rsidR="00454FD6" w:rsidRPr="003E3DFC" w:rsidRDefault="00454FD6" w:rsidP="00454FD6">
            <w:pPr>
              <w:pStyle w:val="NoSpacing"/>
              <w:jc w:val="center"/>
              <w:rPr>
                <w:szCs w:val="20"/>
                <w:lang w:val="en-GB"/>
              </w:rPr>
            </w:pPr>
            <w:r w:rsidRPr="003E3DFC">
              <w:rPr>
                <w:szCs w:val="20"/>
                <w:lang w:val="en-GB"/>
              </w:rPr>
              <w:t>2.2</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78D099C5" w14:textId="77777777" w:rsidR="00454FD6" w:rsidRPr="003E3DFC" w:rsidRDefault="00454FD6" w:rsidP="00454FD6">
            <w:pPr>
              <w:pStyle w:val="NoSpacing"/>
              <w:jc w:val="center"/>
              <w:rPr>
                <w:szCs w:val="20"/>
                <w:lang w:val="en-GB"/>
              </w:rPr>
            </w:pPr>
            <w:r w:rsidRPr="003E3DFC">
              <w:rPr>
                <w:szCs w:val="20"/>
                <w:lang w:val="en-GB"/>
              </w:rPr>
              <w:t>24.0</w:t>
            </w:r>
          </w:p>
        </w:tc>
      </w:tr>
      <w:tr w:rsidR="00D10332" w:rsidRPr="003E3DFC" w14:paraId="58EA2823" w14:textId="77777777" w:rsidTr="00D10332">
        <w:trPr>
          <w:trHeight w:val="288"/>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4BAD999C" w14:textId="77777777" w:rsidR="00454FD6" w:rsidRPr="003E3DFC" w:rsidRDefault="00454FD6" w:rsidP="00454FD6">
            <w:pPr>
              <w:pStyle w:val="NoSpacing"/>
              <w:jc w:val="left"/>
              <w:rPr>
                <w:b/>
                <w:szCs w:val="20"/>
                <w:lang w:val="en-GB"/>
              </w:rPr>
            </w:pPr>
            <w:r w:rsidRPr="003E3DFC">
              <w:rPr>
                <w:b/>
                <w:szCs w:val="20"/>
                <w:lang w:val="en-GB"/>
              </w:rPr>
              <w:t>Croatia</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5DEAC445" w14:textId="77777777" w:rsidR="00454FD6" w:rsidRPr="003E3DFC" w:rsidRDefault="00454FD6" w:rsidP="00454FD6">
            <w:pPr>
              <w:pStyle w:val="NoSpacing"/>
              <w:jc w:val="center"/>
              <w:rPr>
                <w:szCs w:val="20"/>
                <w:lang w:val="en-GB"/>
              </w:rPr>
            </w:pPr>
            <w:r w:rsidRPr="003E3DFC">
              <w:rPr>
                <w:szCs w:val="20"/>
                <w:lang w:val="en-GB"/>
              </w:rPr>
              <w:t>0.5</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127879AA" w14:textId="77777777" w:rsidR="00454FD6" w:rsidRPr="003E3DFC" w:rsidRDefault="00454FD6" w:rsidP="00454FD6">
            <w:pPr>
              <w:pStyle w:val="NoSpacing"/>
              <w:jc w:val="center"/>
              <w:rPr>
                <w:szCs w:val="20"/>
                <w:lang w:val="en-GB"/>
              </w:rPr>
            </w:pPr>
            <w:r w:rsidRPr="003E3DFC">
              <w:rPr>
                <w:szCs w:val="20"/>
                <w:lang w:val="en-GB"/>
              </w:rPr>
              <w:t>6.8</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32E02622" w14:textId="77777777" w:rsidR="00454FD6" w:rsidRPr="003E3DFC" w:rsidRDefault="00454FD6" w:rsidP="00454FD6">
            <w:pPr>
              <w:pStyle w:val="NoSpacing"/>
              <w:jc w:val="center"/>
              <w:rPr>
                <w:szCs w:val="20"/>
                <w:lang w:val="en-GB"/>
              </w:rPr>
            </w:pPr>
            <w:r w:rsidRPr="003E3DFC">
              <w:rPr>
                <w:szCs w:val="20"/>
                <w:lang w:val="en-GB"/>
              </w:rPr>
              <w:t>17.8</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5C23A2BE" w14:textId="77777777" w:rsidR="00454FD6" w:rsidRPr="003E3DFC" w:rsidRDefault="00454FD6" w:rsidP="00454FD6">
            <w:pPr>
              <w:pStyle w:val="NoSpacing"/>
              <w:jc w:val="center"/>
              <w:rPr>
                <w:szCs w:val="20"/>
                <w:lang w:val="en-GB"/>
              </w:rPr>
            </w:pPr>
            <w:r w:rsidRPr="003E3DFC">
              <w:rPr>
                <w:szCs w:val="20"/>
                <w:lang w:val="en-GB"/>
              </w:rPr>
              <w:t>7.3</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5E273C4C" w14:textId="77777777" w:rsidR="00454FD6" w:rsidRPr="003E3DFC" w:rsidRDefault="00454FD6" w:rsidP="00454FD6">
            <w:pPr>
              <w:pStyle w:val="NoSpacing"/>
              <w:jc w:val="center"/>
              <w:rPr>
                <w:szCs w:val="20"/>
                <w:lang w:val="en-GB"/>
              </w:rPr>
            </w:pPr>
            <w:r w:rsidRPr="003E3DFC">
              <w:rPr>
                <w:szCs w:val="20"/>
                <w:lang w:val="en-GB"/>
              </w:rPr>
              <w:t>31.7</w:t>
            </w:r>
          </w:p>
        </w:tc>
        <w:tc>
          <w:tcPr>
            <w:tcW w:w="43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22411151" w14:textId="77777777" w:rsidR="00454FD6" w:rsidRPr="003E3DFC" w:rsidRDefault="00454FD6" w:rsidP="00454FD6">
            <w:pPr>
              <w:pStyle w:val="NoSpacing"/>
              <w:jc w:val="center"/>
              <w:rPr>
                <w:szCs w:val="20"/>
                <w:lang w:val="en-GB"/>
              </w:rPr>
            </w:pPr>
            <w:r w:rsidRPr="003E3DFC">
              <w:rPr>
                <w:szCs w:val="20"/>
                <w:lang w:val="en-GB"/>
              </w:rPr>
              <w:t>26.1</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354224DF" w14:textId="77777777" w:rsidR="00454FD6" w:rsidRPr="003E3DFC" w:rsidRDefault="00454FD6" w:rsidP="00454FD6">
            <w:pPr>
              <w:pStyle w:val="NoSpacing"/>
              <w:jc w:val="center"/>
              <w:rPr>
                <w:szCs w:val="20"/>
                <w:lang w:val="en-GB"/>
              </w:rPr>
            </w:pPr>
            <w:r w:rsidRPr="003E3DFC">
              <w:rPr>
                <w:szCs w:val="20"/>
                <w:lang w:val="en-GB"/>
              </w:rPr>
              <w:t>7.7</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458D4DB0" w14:textId="77777777" w:rsidR="00454FD6" w:rsidRPr="003E3DFC" w:rsidRDefault="00454FD6" w:rsidP="00454FD6">
            <w:pPr>
              <w:pStyle w:val="NoSpacing"/>
              <w:jc w:val="center"/>
              <w:rPr>
                <w:szCs w:val="20"/>
                <w:lang w:val="en-GB"/>
              </w:rPr>
            </w:pPr>
            <w:r w:rsidRPr="003E3DFC">
              <w:rPr>
                <w:szCs w:val="20"/>
                <w:lang w:val="en-GB"/>
              </w:rPr>
              <w:t>2.1</w:t>
            </w:r>
          </w:p>
        </w:tc>
      </w:tr>
      <w:tr w:rsidR="00D10332" w:rsidRPr="003E3DFC" w14:paraId="4B91A496" w14:textId="77777777" w:rsidTr="00D10332">
        <w:trPr>
          <w:trHeight w:val="288"/>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2A12A055" w14:textId="77777777" w:rsidR="00454FD6" w:rsidRPr="003E3DFC" w:rsidRDefault="00454FD6" w:rsidP="00454FD6">
            <w:pPr>
              <w:pStyle w:val="NoSpacing"/>
              <w:jc w:val="left"/>
              <w:rPr>
                <w:b/>
                <w:szCs w:val="20"/>
                <w:lang w:val="en-GB"/>
              </w:rPr>
            </w:pPr>
            <w:r w:rsidRPr="003E3DFC">
              <w:rPr>
                <w:b/>
                <w:szCs w:val="20"/>
                <w:lang w:val="en-GB"/>
              </w:rPr>
              <w:t>Slovenia</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279D99A6" w14:textId="77777777" w:rsidR="00454FD6" w:rsidRPr="003E3DFC" w:rsidRDefault="00454FD6" w:rsidP="00454FD6">
            <w:pPr>
              <w:pStyle w:val="NoSpacing"/>
              <w:jc w:val="center"/>
              <w:rPr>
                <w:szCs w:val="20"/>
                <w:lang w:val="en-GB"/>
              </w:rPr>
            </w:pPr>
            <w:r w:rsidRPr="003E3DFC">
              <w:rPr>
                <w:szCs w:val="20"/>
                <w:lang w:val="en-GB"/>
              </w:rPr>
              <w:t>0.3</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641C34B1" w14:textId="77777777" w:rsidR="00454FD6" w:rsidRPr="003E3DFC" w:rsidRDefault="00454FD6" w:rsidP="00454FD6">
            <w:pPr>
              <w:pStyle w:val="NoSpacing"/>
              <w:jc w:val="center"/>
              <w:rPr>
                <w:szCs w:val="20"/>
                <w:lang w:val="en-GB"/>
              </w:rPr>
            </w:pPr>
            <w:r w:rsidRPr="003E3DFC">
              <w:rPr>
                <w:szCs w:val="20"/>
                <w:lang w:val="en-GB"/>
              </w:rPr>
              <w:t>8.9</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291E5DC4" w14:textId="77777777" w:rsidR="00454FD6" w:rsidRPr="003E3DFC" w:rsidRDefault="00454FD6" w:rsidP="00454FD6">
            <w:pPr>
              <w:pStyle w:val="NoSpacing"/>
              <w:jc w:val="center"/>
              <w:rPr>
                <w:szCs w:val="20"/>
                <w:lang w:val="en-GB"/>
              </w:rPr>
            </w:pPr>
            <w:r w:rsidRPr="003E3DFC">
              <w:rPr>
                <w:szCs w:val="20"/>
                <w:lang w:val="en-GB"/>
              </w:rPr>
              <w:t>9.1</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0CFFFE86" w14:textId="77777777" w:rsidR="00454FD6" w:rsidRPr="003E3DFC" w:rsidRDefault="00454FD6" w:rsidP="00454FD6">
            <w:pPr>
              <w:pStyle w:val="NoSpacing"/>
              <w:jc w:val="center"/>
              <w:rPr>
                <w:szCs w:val="20"/>
                <w:lang w:val="en-GB"/>
              </w:rPr>
            </w:pPr>
            <w:r w:rsidRPr="003E3DFC">
              <w:rPr>
                <w:szCs w:val="20"/>
                <w:lang w:val="en-GB"/>
              </w:rPr>
              <w:t>3.4</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53D417BF" w14:textId="77777777" w:rsidR="00454FD6" w:rsidRPr="003E3DFC" w:rsidRDefault="00454FD6" w:rsidP="00454FD6">
            <w:pPr>
              <w:pStyle w:val="NoSpacing"/>
              <w:jc w:val="center"/>
              <w:rPr>
                <w:szCs w:val="20"/>
                <w:lang w:val="en-GB"/>
              </w:rPr>
            </w:pPr>
            <w:r w:rsidRPr="003E3DFC">
              <w:rPr>
                <w:szCs w:val="20"/>
                <w:lang w:val="en-GB"/>
              </w:rPr>
              <w:t>32.6</w:t>
            </w:r>
          </w:p>
        </w:tc>
        <w:tc>
          <w:tcPr>
            <w:tcW w:w="43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0A9FD5A7" w14:textId="77777777" w:rsidR="00454FD6" w:rsidRPr="003E3DFC" w:rsidRDefault="00454FD6" w:rsidP="00454FD6">
            <w:pPr>
              <w:pStyle w:val="NoSpacing"/>
              <w:jc w:val="center"/>
              <w:rPr>
                <w:szCs w:val="20"/>
                <w:lang w:val="en-GB"/>
              </w:rPr>
            </w:pPr>
            <w:r w:rsidRPr="003E3DFC">
              <w:rPr>
                <w:szCs w:val="20"/>
                <w:lang w:val="en-GB"/>
              </w:rPr>
              <w:t>38.4</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30D42449" w14:textId="77777777" w:rsidR="00454FD6" w:rsidRPr="003E3DFC" w:rsidRDefault="00454FD6" w:rsidP="00454FD6">
            <w:pPr>
              <w:pStyle w:val="NoSpacing"/>
              <w:jc w:val="center"/>
              <w:rPr>
                <w:szCs w:val="20"/>
                <w:lang w:val="en-GB"/>
              </w:rPr>
            </w:pPr>
            <w:r w:rsidRPr="003E3DFC">
              <w:rPr>
                <w:szCs w:val="20"/>
                <w:lang w:val="en-GB"/>
              </w:rPr>
              <w:t>3.7</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5580DC56" w14:textId="77777777" w:rsidR="00454FD6" w:rsidRPr="003E3DFC" w:rsidRDefault="00454FD6" w:rsidP="00454FD6">
            <w:pPr>
              <w:pStyle w:val="NoSpacing"/>
              <w:jc w:val="center"/>
              <w:rPr>
                <w:szCs w:val="20"/>
                <w:lang w:val="en-GB"/>
              </w:rPr>
            </w:pPr>
            <w:r w:rsidRPr="003E3DFC">
              <w:rPr>
                <w:szCs w:val="20"/>
                <w:lang w:val="en-GB"/>
              </w:rPr>
              <w:t>3.5</w:t>
            </w:r>
          </w:p>
        </w:tc>
      </w:tr>
      <w:tr w:rsidR="00D10332" w:rsidRPr="003E3DFC" w14:paraId="564FB73B" w14:textId="77777777" w:rsidTr="00D10332">
        <w:trPr>
          <w:trHeight w:val="288"/>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2D63E410" w14:textId="77777777" w:rsidR="00454FD6" w:rsidRPr="003E3DFC" w:rsidRDefault="00454FD6" w:rsidP="00454FD6">
            <w:pPr>
              <w:pStyle w:val="NoSpacing"/>
              <w:jc w:val="left"/>
              <w:rPr>
                <w:b/>
                <w:szCs w:val="20"/>
                <w:lang w:val="en-GB"/>
              </w:rPr>
            </w:pPr>
            <w:r w:rsidRPr="003E3DFC">
              <w:rPr>
                <w:b/>
                <w:szCs w:val="20"/>
                <w:lang w:val="en-GB"/>
              </w:rPr>
              <w:t>Macedonia</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6C30FDEC" w14:textId="77777777" w:rsidR="00454FD6" w:rsidRPr="003E3DFC" w:rsidRDefault="00454FD6" w:rsidP="00454FD6">
            <w:pPr>
              <w:pStyle w:val="NoSpacing"/>
              <w:jc w:val="center"/>
              <w:rPr>
                <w:szCs w:val="20"/>
                <w:lang w:val="en-GB"/>
              </w:rPr>
            </w:pPr>
            <w:r w:rsidRPr="003E3DFC">
              <w:rPr>
                <w:szCs w:val="20"/>
                <w:lang w:val="en-GB"/>
              </w:rPr>
              <w:t>:</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2E8A24D8" w14:textId="77777777" w:rsidR="00454FD6" w:rsidRPr="003E3DFC" w:rsidRDefault="00454FD6" w:rsidP="00454FD6">
            <w:pPr>
              <w:pStyle w:val="NoSpacing"/>
              <w:jc w:val="center"/>
              <w:rPr>
                <w:szCs w:val="20"/>
                <w:lang w:val="en-GB"/>
              </w:rPr>
            </w:pPr>
            <w:r w:rsidRPr="003E3DFC">
              <w:rPr>
                <w:szCs w:val="20"/>
                <w:lang w:val="en-GB"/>
              </w:rPr>
              <w:t>3.1</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04B451B5" w14:textId="77777777" w:rsidR="00454FD6" w:rsidRPr="003E3DFC" w:rsidRDefault="00454FD6" w:rsidP="00454FD6">
            <w:pPr>
              <w:pStyle w:val="NoSpacing"/>
              <w:jc w:val="center"/>
              <w:rPr>
                <w:szCs w:val="20"/>
                <w:lang w:val="en-GB"/>
              </w:rPr>
            </w:pPr>
            <w:r w:rsidRPr="003E3DFC">
              <w:rPr>
                <w:szCs w:val="20"/>
                <w:lang w:val="en-GB"/>
              </w:rPr>
              <w:t>38.7</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14AF3B10" w14:textId="77777777" w:rsidR="00454FD6" w:rsidRPr="003E3DFC" w:rsidRDefault="00454FD6" w:rsidP="00454FD6">
            <w:pPr>
              <w:pStyle w:val="NoSpacing"/>
              <w:jc w:val="center"/>
              <w:rPr>
                <w:szCs w:val="20"/>
                <w:lang w:val="en-GB"/>
              </w:rPr>
            </w:pPr>
            <w:r w:rsidRPr="003E3DFC">
              <w:rPr>
                <w:szCs w:val="20"/>
                <w:lang w:val="en-GB"/>
              </w:rPr>
              <w:t>11.2</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21799208" w14:textId="77777777" w:rsidR="00454FD6" w:rsidRPr="003E3DFC" w:rsidRDefault="00454FD6" w:rsidP="00454FD6">
            <w:pPr>
              <w:pStyle w:val="NoSpacing"/>
              <w:jc w:val="center"/>
              <w:rPr>
                <w:szCs w:val="20"/>
                <w:lang w:val="en-GB"/>
              </w:rPr>
            </w:pPr>
            <w:r w:rsidRPr="003E3DFC">
              <w:rPr>
                <w:szCs w:val="20"/>
                <w:lang w:val="en-GB"/>
              </w:rPr>
              <w:t>26.8</w:t>
            </w:r>
          </w:p>
        </w:tc>
        <w:tc>
          <w:tcPr>
            <w:tcW w:w="43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4FE3FFBE" w14:textId="77777777" w:rsidR="00454FD6" w:rsidRPr="003E3DFC" w:rsidRDefault="00454FD6" w:rsidP="00454FD6">
            <w:pPr>
              <w:pStyle w:val="NoSpacing"/>
              <w:jc w:val="center"/>
              <w:rPr>
                <w:szCs w:val="20"/>
                <w:lang w:val="en-GB"/>
              </w:rPr>
            </w:pPr>
            <w:r w:rsidRPr="003E3DFC">
              <w:rPr>
                <w:szCs w:val="20"/>
                <w:lang w:val="en-GB"/>
              </w:rPr>
              <w:t>11.9</w:t>
            </w:r>
          </w:p>
        </w:tc>
        <w:tc>
          <w:tcPr>
            <w:tcW w:w="484"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78D6F6C2" w14:textId="77777777" w:rsidR="00454FD6" w:rsidRPr="003E3DFC" w:rsidRDefault="00454FD6" w:rsidP="00454FD6">
            <w:pPr>
              <w:pStyle w:val="NoSpacing"/>
              <w:jc w:val="center"/>
              <w:rPr>
                <w:szCs w:val="20"/>
                <w:lang w:val="en-GB"/>
              </w:rPr>
            </w:pPr>
            <w:r w:rsidRPr="003E3DFC">
              <w:rPr>
                <w:szCs w:val="20"/>
                <w:lang w:val="en-GB"/>
              </w:rPr>
              <w:t>5.2</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14:paraId="69C56F67" w14:textId="77777777" w:rsidR="00454FD6" w:rsidRPr="003E3DFC" w:rsidRDefault="00454FD6" w:rsidP="00454FD6">
            <w:pPr>
              <w:pStyle w:val="NoSpacing"/>
              <w:jc w:val="center"/>
              <w:rPr>
                <w:szCs w:val="20"/>
                <w:lang w:val="en-GB"/>
              </w:rPr>
            </w:pPr>
            <w:r w:rsidRPr="003E3DFC">
              <w:rPr>
                <w:szCs w:val="20"/>
                <w:lang w:val="en-GB"/>
              </w:rPr>
              <w:t>3.1</w:t>
            </w:r>
          </w:p>
        </w:tc>
      </w:tr>
    </w:tbl>
    <w:p w14:paraId="4B353317" w14:textId="77777777" w:rsidR="00AE4FFE" w:rsidRPr="003E3DFC" w:rsidRDefault="00AE4FFE" w:rsidP="00AE4FFE">
      <w:pPr>
        <w:pStyle w:val="NoSpacing"/>
        <w:rPr>
          <w:lang w:val="en-GB"/>
        </w:rPr>
      </w:pPr>
      <w:r w:rsidRPr="003E3DFC">
        <w:rPr>
          <w:lang w:val="en-GB"/>
        </w:rPr>
        <w:t xml:space="preserve">Source: Author’s own work based on LFS data from the State Statistical Office of </w:t>
      </w:r>
      <w:r w:rsidR="00C30864" w:rsidRPr="003E3DFC">
        <w:rPr>
          <w:lang w:val="en-GB"/>
        </w:rPr>
        <w:t>R. of Macedonia</w:t>
      </w:r>
      <w:r w:rsidRPr="003E3DFC">
        <w:rPr>
          <w:lang w:val="en-GB"/>
        </w:rPr>
        <w:t xml:space="preserve"> and Eurostat</w:t>
      </w:r>
    </w:p>
    <w:p w14:paraId="52F5DF55" w14:textId="77777777" w:rsidR="00454FD6" w:rsidRPr="003E3DFC" w:rsidRDefault="00454FD6" w:rsidP="006303F6">
      <w:pPr>
        <w:pStyle w:val="NoSpacing"/>
        <w:rPr>
          <w:lang w:val="en-GB"/>
        </w:rPr>
      </w:pPr>
    </w:p>
    <w:p w14:paraId="3D85A1E3" w14:textId="7F4ED275" w:rsidR="00873C25" w:rsidRPr="003E3DFC" w:rsidRDefault="00873C25" w:rsidP="00873C25">
      <w:pPr>
        <w:pStyle w:val="Heading2"/>
      </w:pPr>
      <w:r w:rsidRPr="003E3DFC">
        <w:t>Female Employment</w:t>
      </w:r>
    </w:p>
    <w:p w14:paraId="3FDFCC32" w14:textId="77777777" w:rsidR="00C51BAC" w:rsidRPr="003E3DFC" w:rsidRDefault="00C51BAC" w:rsidP="00C51BAC">
      <w:pPr>
        <w:pStyle w:val="NoSpacing"/>
        <w:rPr>
          <w:lang w:val="en-GB"/>
        </w:rPr>
      </w:pPr>
    </w:p>
    <w:p w14:paraId="4AA04B6B" w14:textId="11210ED1" w:rsidR="00976DE2" w:rsidRPr="003E3DFC" w:rsidRDefault="001B0F9F" w:rsidP="006303F6">
      <w:pPr>
        <w:pStyle w:val="NoSpacing"/>
        <w:rPr>
          <w:lang w:val="en-GB"/>
        </w:rPr>
      </w:pPr>
      <w:r w:rsidRPr="003E3DFC">
        <w:rPr>
          <w:lang w:val="en-GB"/>
        </w:rPr>
        <w:t xml:space="preserve">Looking at female employment in the </w:t>
      </w:r>
      <w:r w:rsidR="00C30864" w:rsidRPr="003E3DFC">
        <w:rPr>
          <w:lang w:val="en-GB"/>
        </w:rPr>
        <w:t>R. of Macedonia</w:t>
      </w:r>
      <w:r w:rsidRPr="003E3DFC">
        <w:rPr>
          <w:lang w:val="en-GB"/>
        </w:rPr>
        <w:t xml:space="preserve"> in the study period, data shows that </w:t>
      </w:r>
      <w:r w:rsidR="00D47415" w:rsidRPr="003E3DFC">
        <w:rPr>
          <w:lang w:val="en-GB"/>
        </w:rPr>
        <w:t xml:space="preserve">the </w:t>
      </w:r>
      <w:r w:rsidRPr="003E3DFC">
        <w:rPr>
          <w:lang w:val="en-GB"/>
        </w:rPr>
        <w:t>f</w:t>
      </w:r>
      <w:r w:rsidR="00D47415" w:rsidRPr="003E3DFC">
        <w:rPr>
          <w:lang w:val="en-GB"/>
        </w:rPr>
        <w:t>emale employment rate</w:t>
      </w:r>
      <w:r w:rsidR="00A80198" w:rsidRPr="003E3DFC">
        <w:rPr>
          <w:rStyle w:val="EndnoteReference"/>
          <w:lang w:val="en-GB"/>
        </w:rPr>
        <w:endnoteReference w:id="4"/>
      </w:r>
      <w:r w:rsidR="00A80198" w:rsidRPr="003E3DFC">
        <w:rPr>
          <w:lang w:val="en-GB"/>
        </w:rPr>
        <w:t xml:space="preserve"> </w:t>
      </w:r>
      <w:r w:rsidR="00D47415" w:rsidRPr="003E3DFC">
        <w:rPr>
          <w:lang w:val="en-GB"/>
        </w:rPr>
        <w:t>is</w:t>
      </w:r>
      <w:r w:rsidRPr="003E3DFC">
        <w:rPr>
          <w:lang w:val="en-GB"/>
        </w:rPr>
        <w:t xml:space="preserve"> </w:t>
      </w:r>
      <w:r w:rsidR="00976DE2" w:rsidRPr="003E3DFC">
        <w:rPr>
          <w:lang w:val="en-GB"/>
        </w:rPr>
        <w:t xml:space="preserve">slowly but constantly </w:t>
      </w:r>
      <w:r w:rsidRPr="003E3DFC">
        <w:rPr>
          <w:lang w:val="en-GB"/>
        </w:rPr>
        <w:t>on the rise with an 8.4 p.p. increase from 2004 to 2013</w:t>
      </w:r>
      <w:r w:rsidR="00976DE2" w:rsidRPr="003E3DFC">
        <w:rPr>
          <w:lang w:val="en-GB"/>
        </w:rPr>
        <w:t>.</w:t>
      </w:r>
      <w:r w:rsidRPr="003E3DFC">
        <w:rPr>
          <w:lang w:val="en-GB"/>
        </w:rPr>
        <w:t xml:space="preserve"> </w:t>
      </w:r>
      <w:r w:rsidR="00D47415" w:rsidRPr="003E3DFC">
        <w:rPr>
          <w:lang w:val="en-GB"/>
        </w:rPr>
        <w:t xml:space="preserve">Positive and noteworthy in </w:t>
      </w:r>
      <w:r w:rsidRPr="003E3DFC">
        <w:rPr>
          <w:lang w:val="en-GB"/>
        </w:rPr>
        <w:t>this context</w:t>
      </w:r>
      <w:r w:rsidR="00D47415" w:rsidRPr="003E3DFC">
        <w:rPr>
          <w:lang w:val="en-GB"/>
        </w:rPr>
        <w:t xml:space="preserve"> is that no spill-over effects seem to have been </w:t>
      </w:r>
      <w:r w:rsidR="006423DC" w:rsidRPr="003E3DFC">
        <w:rPr>
          <w:lang w:val="en-GB"/>
        </w:rPr>
        <w:t>observed</w:t>
      </w:r>
      <w:r w:rsidR="00D47415" w:rsidRPr="003E3DFC">
        <w:rPr>
          <w:lang w:val="en-GB"/>
        </w:rPr>
        <w:t xml:space="preserve"> on </w:t>
      </w:r>
      <w:r w:rsidR="00C319AE" w:rsidRPr="003E3DFC">
        <w:rPr>
          <w:lang w:val="en-GB"/>
        </w:rPr>
        <w:t xml:space="preserve">both </w:t>
      </w:r>
      <w:r w:rsidR="00D47415" w:rsidRPr="003E3DFC">
        <w:rPr>
          <w:lang w:val="en-GB"/>
        </w:rPr>
        <w:t xml:space="preserve">female and male employment following the global economic crisis </w:t>
      </w:r>
      <w:r w:rsidR="00C319AE" w:rsidRPr="003E3DFC">
        <w:rPr>
          <w:lang w:val="en-GB"/>
        </w:rPr>
        <w:t>in 2008/09.</w:t>
      </w:r>
      <w:r w:rsidR="002A524E" w:rsidRPr="003E3DFC">
        <w:rPr>
          <w:lang w:val="en-GB"/>
        </w:rPr>
        <w:t xml:space="preserve"> </w:t>
      </w:r>
      <w:r w:rsidR="00C319AE" w:rsidRPr="003E3DFC">
        <w:rPr>
          <w:lang w:val="en-GB"/>
        </w:rPr>
        <w:t xml:space="preserve">On the </w:t>
      </w:r>
      <w:r w:rsidR="002A524E" w:rsidRPr="003E3DFC">
        <w:rPr>
          <w:lang w:val="en-GB"/>
        </w:rPr>
        <w:t>adverse</w:t>
      </w:r>
      <w:r w:rsidR="00C319AE" w:rsidRPr="003E3DFC">
        <w:rPr>
          <w:lang w:val="en-GB"/>
        </w:rPr>
        <w:t xml:space="preserve"> side, noteworthy is that data show </w:t>
      </w:r>
      <w:r w:rsidRPr="003E3DFC">
        <w:rPr>
          <w:lang w:val="en-GB"/>
        </w:rPr>
        <w:t xml:space="preserve">female employment rates </w:t>
      </w:r>
      <w:r w:rsidR="00C319AE" w:rsidRPr="003E3DFC">
        <w:rPr>
          <w:lang w:val="en-GB"/>
        </w:rPr>
        <w:t>to be</w:t>
      </w:r>
      <w:r w:rsidRPr="003E3DFC">
        <w:rPr>
          <w:lang w:val="en-GB"/>
        </w:rPr>
        <w:t xml:space="preserve"> significantly below male employment rates with a gap of 1.5 time higher male employment rate compared to the female employment rate in 2013.  </w:t>
      </w:r>
    </w:p>
    <w:p w14:paraId="027A2C6E" w14:textId="77777777" w:rsidR="006303F6" w:rsidRPr="003E3DFC" w:rsidRDefault="006303F6" w:rsidP="006303F6">
      <w:pPr>
        <w:pStyle w:val="NoSpacing"/>
        <w:rPr>
          <w:lang w:val="en-GB"/>
        </w:rPr>
      </w:pPr>
    </w:p>
    <w:p w14:paraId="2407224C" w14:textId="7F97A289" w:rsidR="00976DE2" w:rsidRPr="003E3DFC" w:rsidRDefault="00976DE2" w:rsidP="00976DE2">
      <w:pPr>
        <w:pStyle w:val="Caption"/>
        <w:rPr>
          <w:i w:val="0"/>
          <w:color w:val="auto"/>
          <w:sz w:val="24"/>
        </w:rPr>
      </w:pPr>
      <w:r w:rsidRPr="003E3DFC">
        <w:rPr>
          <w:i w:val="0"/>
          <w:color w:val="auto"/>
          <w:sz w:val="24"/>
        </w:rPr>
        <w:t xml:space="preserve">Figure </w:t>
      </w:r>
      <w:r w:rsidRPr="003E3DFC">
        <w:rPr>
          <w:i w:val="0"/>
          <w:color w:val="auto"/>
          <w:sz w:val="24"/>
        </w:rPr>
        <w:fldChar w:fldCharType="begin"/>
      </w:r>
      <w:r w:rsidRPr="003E3DFC">
        <w:rPr>
          <w:i w:val="0"/>
          <w:color w:val="auto"/>
          <w:sz w:val="24"/>
        </w:rPr>
        <w:instrText xml:space="preserve"> SEQ Figure \* ARABIC </w:instrText>
      </w:r>
      <w:r w:rsidRPr="003E3DFC">
        <w:rPr>
          <w:i w:val="0"/>
          <w:color w:val="auto"/>
          <w:sz w:val="24"/>
        </w:rPr>
        <w:fldChar w:fldCharType="separate"/>
      </w:r>
      <w:r w:rsidR="00F625BB" w:rsidRPr="003E3DFC">
        <w:rPr>
          <w:i w:val="0"/>
          <w:noProof/>
          <w:color w:val="auto"/>
          <w:sz w:val="24"/>
        </w:rPr>
        <w:t>4</w:t>
      </w:r>
      <w:r w:rsidRPr="003E3DFC">
        <w:rPr>
          <w:i w:val="0"/>
          <w:color w:val="auto"/>
          <w:sz w:val="24"/>
        </w:rPr>
        <w:fldChar w:fldCharType="end"/>
      </w:r>
      <w:r w:rsidRPr="003E3DFC">
        <w:rPr>
          <w:i w:val="0"/>
          <w:color w:val="auto"/>
          <w:sz w:val="24"/>
        </w:rPr>
        <w:t xml:space="preserve">: Female vs. </w:t>
      </w:r>
      <w:r w:rsidR="00C319AE" w:rsidRPr="003E3DFC">
        <w:rPr>
          <w:i w:val="0"/>
          <w:color w:val="auto"/>
          <w:sz w:val="24"/>
        </w:rPr>
        <w:t>m</w:t>
      </w:r>
      <w:r w:rsidRPr="003E3DFC">
        <w:rPr>
          <w:i w:val="0"/>
          <w:color w:val="auto"/>
          <w:sz w:val="24"/>
        </w:rPr>
        <w:t xml:space="preserve">ale </w:t>
      </w:r>
      <w:r w:rsidR="00C319AE" w:rsidRPr="003E3DFC">
        <w:rPr>
          <w:i w:val="0"/>
          <w:color w:val="auto"/>
          <w:sz w:val="24"/>
        </w:rPr>
        <w:t>e</w:t>
      </w:r>
      <w:r w:rsidRPr="003E3DFC">
        <w:rPr>
          <w:i w:val="0"/>
          <w:color w:val="auto"/>
          <w:sz w:val="24"/>
        </w:rPr>
        <w:t xml:space="preserve">mployment </w:t>
      </w:r>
      <w:r w:rsidR="00C319AE" w:rsidRPr="003E3DFC">
        <w:rPr>
          <w:i w:val="0"/>
          <w:color w:val="auto"/>
          <w:sz w:val="24"/>
        </w:rPr>
        <w:t>r</w:t>
      </w:r>
      <w:r w:rsidRPr="003E3DFC">
        <w:rPr>
          <w:i w:val="0"/>
          <w:color w:val="auto"/>
          <w:sz w:val="24"/>
        </w:rPr>
        <w:t xml:space="preserve">ates (15-64 years) in </w:t>
      </w:r>
      <w:r w:rsidR="00C30864" w:rsidRPr="003E3DFC">
        <w:rPr>
          <w:i w:val="0"/>
          <w:color w:val="auto"/>
          <w:sz w:val="24"/>
        </w:rPr>
        <w:t>R. of Macedonia</w:t>
      </w:r>
      <w:r w:rsidRPr="003E3DFC">
        <w:rPr>
          <w:i w:val="0"/>
          <w:color w:val="auto"/>
          <w:sz w:val="24"/>
        </w:rPr>
        <w:t xml:space="preserve"> 2004-2013 (%)</w:t>
      </w:r>
    </w:p>
    <w:p w14:paraId="40BB8924" w14:textId="3AA43EBB" w:rsidR="00976DE2" w:rsidRPr="003E3DFC" w:rsidRDefault="006C06C9" w:rsidP="00976DE2">
      <w:pPr>
        <w:pStyle w:val="NoSpacing"/>
        <w:rPr>
          <w:lang w:val="en-GB"/>
        </w:rPr>
      </w:pPr>
      <w:r w:rsidRPr="003E3DFC">
        <w:rPr>
          <w:noProof/>
          <w:lang w:val="bs-Latn-BA" w:eastAsia="bs-Latn-BA"/>
        </w:rPr>
        <w:drawing>
          <wp:inline distT="0" distB="0" distL="0" distR="0" wp14:anchorId="7D83A996" wp14:editId="6BC85FD6">
            <wp:extent cx="5901055" cy="2776220"/>
            <wp:effectExtent l="0" t="0" r="4445" b="5080"/>
            <wp:docPr id="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88F827" w14:textId="5A96AFDE" w:rsidR="00976DE2" w:rsidRPr="003E3DFC" w:rsidRDefault="00976DE2" w:rsidP="00976DE2">
      <w:pPr>
        <w:pStyle w:val="NoSpacing"/>
        <w:rPr>
          <w:lang w:val="en-GB"/>
        </w:rPr>
      </w:pPr>
      <w:r w:rsidRPr="003E3DFC">
        <w:rPr>
          <w:lang w:val="en-GB"/>
        </w:rPr>
        <w:t xml:space="preserve">Source: </w:t>
      </w:r>
      <w:r w:rsidR="00C319AE" w:rsidRPr="003E3DFC">
        <w:rPr>
          <w:lang w:val="en-GB"/>
        </w:rPr>
        <w:t xml:space="preserve">Author’s own work based on LFS data from the </w:t>
      </w:r>
      <w:r w:rsidRPr="003E3DFC">
        <w:rPr>
          <w:lang w:val="en-GB"/>
        </w:rPr>
        <w:t xml:space="preserve">State Statistical Office of the </w:t>
      </w:r>
      <w:r w:rsidR="00C30864" w:rsidRPr="003E3DFC">
        <w:rPr>
          <w:lang w:val="en-GB"/>
        </w:rPr>
        <w:t>R. of Macedonia</w:t>
      </w:r>
    </w:p>
    <w:p w14:paraId="22A4D459" w14:textId="77777777" w:rsidR="00976DE2" w:rsidRPr="003E3DFC" w:rsidRDefault="00976DE2" w:rsidP="006303F6">
      <w:pPr>
        <w:pStyle w:val="NoSpacing"/>
        <w:rPr>
          <w:lang w:val="en-GB"/>
        </w:rPr>
      </w:pPr>
    </w:p>
    <w:p w14:paraId="28732EA1" w14:textId="6E2900F6" w:rsidR="00D71414" w:rsidRPr="003E3DFC" w:rsidRDefault="00843DB9" w:rsidP="006303F6">
      <w:pPr>
        <w:pStyle w:val="NoSpacing"/>
        <w:rPr>
          <w:lang w:val="en-GB"/>
        </w:rPr>
      </w:pPr>
      <w:r w:rsidRPr="003E3DFC">
        <w:rPr>
          <w:lang w:val="en-GB"/>
        </w:rPr>
        <w:t xml:space="preserve">In a </w:t>
      </w:r>
      <w:r w:rsidR="00C319AE" w:rsidRPr="003E3DFC">
        <w:rPr>
          <w:lang w:val="en-GB"/>
        </w:rPr>
        <w:t xml:space="preserve">semi </w:t>
      </w:r>
      <w:r w:rsidRPr="003E3DFC">
        <w:rPr>
          <w:lang w:val="en-GB"/>
        </w:rPr>
        <w:t>regional perspective, data shows (</w:t>
      </w:r>
      <w:r w:rsidR="00F625BB" w:rsidRPr="003E3DFC">
        <w:rPr>
          <w:lang w:val="en-GB"/>
        </w:rPr>
        <w:t>table 2</w:t>
      </w:r>
      <w:r w:rsidRPr="003E3DFC">
        <w:rPr>
          <w:lang w:val="en-GB"/>
        </w:rPr>
        <w:t xml:space="preserve">) that the </w:t>
      </w:r>
      <w:r w:rsidR="00C30864" w:rsidRPr="003E3DFC">
        <w:rPr>
          <w:lang w:val="en-GB"/>
        </w:rPr>
        <w:t>R. of Macedonia</w:t>
      </w:r>
      <w:r w:rsidRPr="003E3DFC">
        <w:rPr>
          <w:lang w:val="en-GB"/>
        </w:rPr>
        <w:t xml:space="preserve"> is </w:t>
      </w:r>
      <w:r w:rsidR="00C319AE" w:rsidRPr="003E3DFC">
        <w:rPr>
          <w:lang w:val="en-GB"/>
        </w:rPr>
        <w:t xml:space="preserve">not the only country to </w:t>
      </w:r>
      <w:r w:rsidRPr="003E3DFC">
        <w:rPr>
          <w:lang w:val="en-GB"/>
        </w:rPr>
        <w:t>struggl</w:t>
      </w:r>
      <w:r w:rsidR="00C319AE" w:rsidRPr="003E3DFC">
        <w:rPr>
          <w:lang w:val="en-GB"/>
        </w:rPr>
        <w:t xml:space="preserve">e </w:t>
      </w:r>
      <w:r w:rsidRPr="003E3DFC">
        <w:rPr>
          <w:lang w:val="en-GB"/>
        </w:rPr>
        <w:t xml:space="preserve">with low female employment rates. A similar problem is </w:t>
      </w:r>
      <w:r w:rsidR="005F0150" w:rsidRPr="003E3DFC">
        <w:rPr>
          <w:lang w:val="en-GB"/>
        </w:rPr>
        <w:t>observed</w:t>
      </w:r>
      <w:r w:rsidRPr="003E3DFC">
        <w:rPr>
          <w:lang w:val="en-GB"/>
        </w:rPr>
        <w:t xml:space="preserve"> in </w:t>
      </w:r>
      <w:r w:rsidR="0024167F" w:rsidRPr="003E3DFC">
        <w:rPr>
          <w:lang w:val="en-GB"/>
        </w:rPr>
        <w:t xml:space="preserve">Greece </w:t>
      </w:r>
      <w:r w:rsidR="000B4323" w:rsidRPr="003E3DFC">
        <w:rPr>
          <w:lang w:val="en-GB"/>
        </w:rPr>
        <w:t xml:space="preserve">with a slightly higher female </w:t>
      </w:r>
      <w:r w:rsidR="0024167F" w:rsidRPr="003E3DFC">
        <w:rPr>
          <w:lang w:val="en-GB"/>
        </w:rPr>
        <w:t xml:space="preserve">employment rate; 39.9% compared to 37.3% in the case of R. of Macedonia in 2013. </w:t>
      </w:r>
      <w:r w:rsidR="006B2F8A" w:rsidRPr="003E3DFC">
        <w:rPr>
          <w:lang w:val="en-GB"/>
        </w:rPr>
        <w:t xml:space="preserve">Looking at the trend over the study period, all countries </w:t>
      </w:r>
      <w:r w:rsidR="0024167F" w:rsidRPr="003E3DFC">
        <w:rPr>
          <w:lang w:val="en-GB"/>
        </w:rPr>
        <w:t xml:space="preserve">included in the study have </w:t>
      </w:r>
      <w:r w:rsidR="005F0150" w:rsidRPr="003E3DFC">
        <w:rPr>
          <w:lang w:val="en-GB"/>
        </w:rPr>
        <w:t>observed</w:t>
      </w:r>
      <w:r w:rsidR="006B2F8A" w:rsidRPr="003E3DFC">
        <w:rPr>
          <w:lang w:val="en-GB"/>
        </w:rPr>
        <w:t xml:space="preserve"> </w:t>
      </w:r>
      <w:r w:rsidR="0024167F" w:rsidRPr="003E3DFC">
        <w:rPr>
          <w:lang w:val="en-GB"/>
        </w:rPr>
        <w:t xml:space="preserve">increases </w:t>
      </w:r>
      <w:r w:rsidR="00D71414" w:rsidRPr="003E3DFC">
        <w:rPr>
          <w:lang w:val="en-GB"/>
        </w:rPr>
        <w:t>in female employment</w:t>
      </w:r>
      <w:r w:rsidR="006B2F8A" w:rsidRPr="003E3DFC">
        <w:rPr>
          <w:lang w:val="en-GB"/>
        </w:rPr>
        <w:t xml:space="preserve"> except for Greece</w:t>
      </w:r>
      <w:r w:rsidR="0024167F" w:rsidRPr="003E3DFC">
        <w:rPr>
          <w:lang w:val="en-GB"/>
        </w:rPr>
        <w:t xml:space="preserve"> and </w:t>
      </w:r>
      <w:r w:rsidR="006B2F8A" w:rsidRPr="003E3DFC">
        <w:rPr>
          <w:lang w:val="en-GB"/>
        </w:rPr>
        <w:t>Slovenia who re</w:t>
      </w:r>
      <w:r w:rsidR="0024167F" w:rsidRPr="003E3DFC">
        <w:rPr>
          <w:lang w:val="en-GB"/>
        </w:rPr>
        <w:t>gistered a decline of 5.6 p.p.</w:t>
      </w:r>
      <w:r w:rsidR="006B2F8A" w:rsidRPr="003E3DFC">
        <w:rPr>
          <w:lang w:val="en-GB"/>
        </w:rPr>
        <w:t xml:space="preserve"> and 2.1 p.p., respectively, from 2004 to 2013. </w:t>
      </w:r>
      <w:r w:rsidR="0024167F" w:rsidRPr="003E3DFC">
        <w:rPr>
          <w:lang w:val="en-GB"/>
        </w:rPr>
        <w:t>The R. of Macedonia is the only country that has observed a relatively consistent increase in rates throughout the study period; reaching an 8.4 p.p</w:t>
      </w:r>
      <w:r w:rsidR="002038BA" w:rsidRPr="003E3DFC">
        <w:rPr>
          <w:lang w:val="en-GB"/>
        </w:rPr>
        <w:t>.</w:t>
      </w:r>
      <w:r w:rsidR="0024167F" w:rsidRPr="003E3DFC">
        <w:rPr>
          <w:lang w:val="en-GB"/>
        </w:rPr>
        <w:t xml:space="preserve"> increase from 2014-2013.</w:t>
      </w:r>
    </w:p>
    <w:p w14:paraId="65D09739" w14:textId="77777777" w:rsidR="006B2F8A" w:rsidRPr="003E3DFC" w:rsidRDefault="006B2F8A" w:rsidP="006303F6">
      <w:pPr>
        <w:pStyle w:val="NoSpacing"/>
        <w:rPr>
          <w:lang w:val="en-GB"/>
        </w:rPr>
      </w:pPr>
    </w:p>
    <w:p w14:paraId="3D647175" w14:textId="0EA0EF18" w:rsidR="00D71414" w:rsidRPr="003E3DFC" w:rsidRDefault="00F625BB" w:rsidP="00F625BB">
      <w:pPr>
        <w:pStyle w:val="Caption"/>
        <w:rPr>
          <w:i w:val="0"/>
          <w:color w:val="auto"/>
          <w:sz w:val="24"/>
        </w:rPr>
      </w:pPr>
      <w:r w:rsidRPr="003E3DFC">
        <w:rPr>
          <w:i w:val="0"/>
          <w:color w:val="auto"/>
          <w:sz w:val="24"/>
        </w:rPr>
        <w:t xml:space="preserve">Table </w:t>
      </w:r>
      <w:r w:rsidRPr="003E3DFC">
        <w:rPr>
          <w:i w:val="0"/>
          <w:color w:val="auto"/>
          <w:sz w:val="24"/>
        </w:rPr>
        <w:fldChar w:fldCharType="begin"/>
      </w:r>
      <w:r w:rsidRPr="003E3DFC">
        <w:rPr>
          <w:i w:val="0"/>
          <w:color w:val="auto"/>
          <w:sz w:val="24"/>
        </w:rPr>
        <w:instrText xml:space="preserve"> SEQ Table \* ARABIC </w:instrText>
      </w:r>
      <w:r w:rsidRPr="003E3DFC">
        <w:rPr>
          <w:i w:val="0"/>
          <w:color w:val="auto"/>
          <w:sz w:val="24"/>
        </w:rPr>
        <w:fldChar w:fldCharType="separate"/>
      </w:r>
      <w:r w:rsidRPr="003E3DFC">
        <w:rPr>
          <w:i w:val="0"/>
          <w:noProof/>
          <w:color w:val="auto"/>
          <w:sz w:val="24"/>
        </w:rPr>
        <w:t>2</w:t>
      </w:r>
      <w:r w:rsidRPr="003E3DFC">
        <w:rPr>
          <w:i w:val="0"/>
          <w:color w:val="auto"/>
          <w:sz w:val="24"/>
        </w:rPr>
        <w:fldChar w:fldCharType="end"/>
      </w:r>
      <w:r w:rsidRPr="003E3DFC">
        <w:rPr>
          <w:i w:val="0"/>
          <w:color w:val="auto"/>
          <w:sz w:val="24"/>
        </w:rPr>
        <w:t>: Female Employment Rates (15-64 years) in selected Balkan countries 2004-2013 (%)</w:t>
      </w:r>
    </w:p>
    <w:tbl>
      <w:tblPr>
        <w:tblW w:w="5000" w:type="pct"/>
        <w:tblLook w:val="04A0" w:firstRow="1" w:lastRow="0" w:firstColumn="1" w:lastColumn="0" w:noHBand="0" w:noVBand="1"/>
      </w:tblPr>
      <w:tblGrid>
        <w:gridCol w:w="1547"/>
        <w:gridCol w:w="781"/>
        <w:gridCol w:w="781"/>
        <w:gridCol w:w="781"/>
        <w:gridCol w:w="780"/>
        <w:gridCol w:w="780"/>
        <w:gridCol w:w="780"/>
        <w:gridCol w:w="780"/>
        <w:gridCol w:w="780"/>
        <w:gridCol w:w="780"/>
        <w:gridCol w:w="780"/>
      </w:tblGrid>
      <w:tr w:rsidR="00B80334" w:rsidRPr="003E3DFC" w14:paraId="2A779884" w14:textId="77777777" w:rsidTr="009D4003">
        <w:trPr>
          <w:trHeight w:val="285"/>
        </w:trPr>
        <w:tc>
          <w:tcPr>
            <w:tcW w:w="827"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79C483A" w14:textId="4EEBE721" w:rsidR="005E626A" w:rsidRPr="003E3DFC" w:rsidRDefault="005E626A" w:rsidP="00B80334">
            <w:pPr>
              <w:spacing w:after="0"/>
              <w:jc w:val="left"/>
              <w:rPr>
                <w:rFonts w:eastAsia="Times New Roman"/>
                <w:b/>
                <w:sz w:val="22"/>
              </w:rPr>
            </w:pPr>
            <w:r w:rsidRPr="003E3DFC">
              <w:rPr>
                <w:rFonts w:eastAsia="Times New Roman"/>
                <w:b/>
                <w:sz w:val="22"/>
              </w:rPr>
              <w:t> </w:t>
            </w:r>
          </w:p>
        </w:tc>
        <w:tc>
          <w:tcPr>
            <w:tcW w:w="417" w:type="pct"/>
            <w:tcBorders>
              <w:top w:val="single" w:sz="4" w:space="0" w:color="808080"/>
              <w:left w:val="nil"/>
              <w:bottom w:val="single" w:sz="4" w:space="0" w:color="808080"/>
              <w:right w:val="single" w:sz="4" w:space="0" w:color="808080"/>
            </w:tcBorders>
            <w:shd w:val="clear" w:color="auto" w:fill="auto"/>
            <w:noWrap/>
            <w:vAlign w:val="center"/>
            <w:hideMark/>
          </w:tcPr>
          <w:p w14:paraId="418BC7F7" w14:textId="77777777" w:rsidR="005E626A" w:rsidRPr="003E3DFC" w:rsidRDefault="005E626A" w:rsidP="005E626A">
            <w:pPr>
              <w:spacing w:after="0"/>
              <w:jc w:val="center"/>
              <w:rPr>
                <w:rFonts w:eastAsia="Times New Roman"/>
                <w:b/>
                <w:sz w:val="22"/>
              </w:rPr>
            </w:pPr>
            <w:r w:rsidRPr="003E3DFC">
              <w:rPr>
                <w:rFonts w:eastAsia="Times New Roman"/>
                <w:b/>
                <w:sz w:val="22"/>
              </w:rPr>
              <w:t>2004</w:t>
            </w:r>
          </w:p>
        </w:tc>
        <w:tc>
          <w:tcPr>
            <w:tcW w:w="417" w:type="pct"/>
            <w:tcBorders>
              <w:top w:val="single" w:sz="4" w:space="0" w:color="808080"/>
              <w:left w:val="nil"/>
              <w:bottom w:val="single" w:sz="4" w:space="0" w:color="808080"/>
              <w:right w:val="single" w:sz="4" w:space="0" w:color="808080"/>
            </w:tcBorders>
            <w:shd w:val="clear" w:color="auto" w:fill="auto"/>
            <w:noWrap/>
            <w:vAlign w:val="center"/>
            <w:hideMark/>
          </w:tcPr>
          <w:p w14:paraId="2A8321FA" w14:textId="77777777" w:rsidR="005E626A" w:rsidRPr="003E3DFC" w:rsidRDefault="005E626A" w:rsidP="005E626A">
            <w:pPr>
              <w:spacing w:after="0"/>
              <w:jc w:val="center"/>
              <w:rPr>
                <w:rFonts w:eastAsia="Times New Roman"/>
                <w:b/>
                <w:sz w:val="22"/>
              </w:rPr>
            </w:pPr>
            <w:r w:rsidRPr="003E3DFC">
              <w:rPr>
                <w:rFonts w:eastAsia="Times New Roman"/>
                <w:b/>
                <w:sz w:val="22"/>
              </w:rPr>
              <w:t>2005</w:t>
            </w:r>
          </w:p>
        </w:tc>
        <w:tc>
          <w:tcPr>
            <w:tcW w:w="417" w:type="pct"/>
            <w:tcBorders>
              <w:top w:val="single" w:sz="4" w:space="0" w:color="808080"/>
              <w:left w:val="nil"/>
              <w:bottom w:val="single" w:sz="4" w:space="0" w:color="808080"/>
              <w:right w:val="single" w:sz="4" w:space="0" w:color="808080"/>
            </w:tcBorders>
            <w:shd w:val="clear" w:color="auto" w:fill="auto"/>
            <w:noWrap/>
            <w:vAlign w:val="center"/>
            <w:hideMark/>
          </w:tcPr>
          <w:p w14:paraId="03BB4618" w14:textId="77777777" w:rsidR="005E626A" w:rsidRPr="003E3DFC" w:rsidRDefault="005E626A" w:rsidP="005E626A">
            <w:pPr>
              <w:spacing w:after="0"/>
              <w:jc w:val="center"/>
              <w:rPr>
                <w:rFonts w:eastAsia="Times New Roman"/>
                <w:b/>
                <w:sz w:val="22"/>
              </w:rPr>
            </w:pPr>
            <w:r w:rsidRPr="003E3DFC">
              <w:rPr>
                <w:rFonts w:eastAsia="Times New Roman"/>
                <w:b/>
                <w:sz w:val="22"/>
              </w:rPr>
              <w:t>2006</w:t>
            </w:r>
          </w:p>
        </w:tc>
        <w:tc>
          <w:tcPr>
            <w:tcW w:w="417" w:type="pct"/>
            <w:tcBorders>
              <w:top w:val="single" w:sz="4" w:space="0" w:color="808080"/>
              <w:left w:val="nil"/>
              <w:bottom w:val="single" w:sz="4" w:space="0" w:color="808080"/>
              <w:right w:val="single" w:sz="4" w:space="0" w:color="808080"/>
            </w:tcBorders>
            <w:shd w:val="clear" w:color="auto" w:fill="auto"/>
            <w:noWrap/>
            <w:vAlign w:val="center"/>
            <w:hideMark/>
          </w:tcPr>
          <w:p w14:paraId="427CCB21" w14:textId="77777777" w:rsidR="005E626A" w:rsidRPr="003E3DFC" w:rsidRDefault="005E626A" w:rsidP="005E626A">
            <w:pPr>
              <w:spacing w:after="0"/>
              <w:jc w:val="center"/>
              <w:rPr>
                <w:rFonts w:eastAsia="Times New Roman"/>
                <w:b/>
                <w:sz w:val="22"/>
              </w:rPr>
            </w:pPr>
            <w:r w:rsidRPr="003E3DFC">
              <w:rPr>
                <w:rFonts w:eastAsia="Times New Roman"/>
                <w:b/>
                <w:sz w:val="22"/>
              </w:rPr>
              <w:t>2007</w:t>
            </w:r>
          </w:p>
        </w:tc>
        <w:tc>
          <w:tcPr>
            <w:tcW w:w="417" w:type="pct"/>
            <w:tcBorders>
              <w:top w:val="single" w:sz="4" w:space="0" w:color="808080"/>
              <w:left w:val="nil"/>
              <w:bottom w:val="single" w:sz="4" w:space="0" w:color="808080"/>
              <w:right w:val="single" w:sz="4" w:space="0" w:color="808080"/>
            </w:tcBorders>
            <w:shd w:val="clear" w:color="auto" w:fill="auto"/>
            <w:noWrap/>
            <w:vAlign w:val="center"/>
            <w:hideMark/>
          </w:tcPr>
          <w:p w14:paraId="4889849C" w14:textId="77777777" w:rsidR="005E626A" w:rsidRPr="003E3DFC" w:rsidRDefault="005E626A" w:rsidP="005E626A">
            <w:pPr>
              <w:spacing w:after="0"/>
              <w:jc w:val="center"/>
              <w:rPr>
                <w:rFonts w:eastAsia="Times New Roman"/>
                <w:b/>
                <w:sz w:val="22"/>
              </w:rPr>
            </w:pPr>
            <w:r w:rsidRPr="003E3DFC">
              <w:rPr>
                <w:rFonts w:eastAsia="Times New Roman"/>
                <w:b/>
                <w:sz w:val="22"/>
              </w:rPr>
              <w:t>2008</w:t>
            </w:r>
          </w:p>
        </w:tc>
        <w:tc>
          <w:tcPr>
            <w:tcW w:w="417" w:type="pct"/>
            <w:tcBorders>
              <w:top w:val="single" w:sz="4" w:space="0" w:color="808080"/>
              <w:left w:val="nil"/>
              <w:bottom w:val="single" w:sz="4" w:space="0" w:color="808080"/>
              <w:right w:val="single" w:sz="4" w:space="0" w:color="808080"/>
            </w:tcBorders>
            <w:shd w:val="clear" w:color="auto" w:fill="auto"/>
            <w:noWrap/>
            <w:vAlign w:val="center"/>
            <w:hideMark/>
          </w:tcPr>
          <w:p w14:paraId="5EB1236C" w14:textId="77777777" w:rsidR="005E626A" w:rsidRPr="003E3DFC" w:rsidRDefault="005E626A" w:rsidP="005E626A">
            <w:pPr>
              <w:spacing w:after="0"/>
              <w:jc w:val="center"/>
              <w:rPr>
                <w:rFonts w:eastAsia="Times New Roman"/>
                <w:b/>
                <w:sz w:val="22"/>
              </w:rPr>
            </w:pPr>
            <w:r w:rsidRPr="003E3DFC">
              <w:rPr>
                <w:rFonts w:eastAsia="Times New Roman"/>
                <w:b/>
                <w:sz w:val="22"/>
              </w:rPr>
              <w:t>2009</w:t>
            </w:r>
          </w:p>
        </w:tc>
        <w:tc>
          <w:tcPr>
            <w:tcW w:w="417" w:type="pct"/>
            <w:tcBorders>
              <w:top w:val="single" w:sz="4" w:space="0" w:color="808080"/>
              <w:left w:val="nil"/>
              <w:bottom w:val="single" w:sz="4" w:space="0" w:color="808080"/>
              <w:right w:val="single" w:sz="4" w:space="0" w:color="808080"/>
            </w:tcBorders>
            <w:shd w:val="clear" w:color="auto" w:fill="auto"/>
            <w:noWrap/>
            <w:vAlign w:val="center"/>
            <w:hideMark/>
          </w:tcPr>
          <w:p w14:paraId="4CA8BC67" w14:textId="77777777" w:rsidR="005E626A" w:rsidRPr="003E3DFC" w:rsidRDefault="005E626A" w:rsidP="005E626A">
            <w:pPr>
              <w:spacing w:after="0"/>
              <w:jc w:val="center"/>
              <w:rPr>
                <w:rFonts w:eastAsia="Times New Roman"/>
                <w:b/>
                <w:sz w:val="22"/>
              </w:rPr>
            </w:pPr>
            <w:r w:rsidRPr="003E3DFC">
              <w:rPr>
                <w:rFonts w:eastAsia="Times New Roman"/>
                <w:b/>
                <w:sz w:val="22"/>
              </w:rPr>
              <w:t>2010</w:t>
            </w:r>
          </w:p>
        </w:tc>
        <w:tc>
          <w:tcPr>
            <w:tcW w:w="417" w:type="pct"/>
            <w:tcBorders>
              <w:top w:val="single" w:sz="4" w:space="0" w:color="808080"/>
              <w:left w:val="nil"/>
              <w:bottom w:val="single" w:sz="4" w:space="0" w:color="808080"/>
              <w:right w:val="single" w:sz="4" w:space="0" w:color="808080"/>
            </w:tcBorders>
            <w:shd w:val="clear" w:color="auto" w:fill="auto"/>
            <w:noWrap/>
            <w:vAlign w:val="center"/>
            <w:hideMark/>
          </w:tcPr>
          <w:p w14:paraId="005090EA" w14:textId="77777777" w:rsidR="005E626A" w:rsidRPr="003E3DFC" w:rsidRDefault="005E626A" w:rsidP="005E626A">
            <w:pPr>
              <w:spacing w:after="0"/>
              <w:jc w:val="center"/>
              <w:rPr>
                <w:rFonts w:eastAsia="Times New Roman"/>
                <w:b/>
                <w:sz w:val="22"/>
              </w:rPr>
            </w:pPr>
            <w:r w:rsidRPr="003E3DFC">
              <w:rPr>
                <w:rFonts w:eastAsia="Times New Roman"/>
                <w:b/>
                <w:sz w:val="22"/>
              </w:rPr>
              <w:t>2011</w:t>
            </w:r>
          </w:p>
        </w:tc>
        <w:tc>
          <w:tcPr>
            <w:tcW w:w="417" w:type="pct"/>
            <w:tcBorders>
              <w:top w:val="single" w:sz="4" w:space="0" w:color="808080"/>
              <w:left w:val="nil"/>
              <w:bottom w:val="single" w:sz="4" w:space="0" w:color="808080"/>
              <w:right w:val="single" w:sz="4" w:space="0" w:color="808080"/>
            </w:tcBorders>
            <w:shd w:val="clear" w:color="auto" w:fill="auto"/>
            <w:noWrap/>
            <w:vAlign w:val="center"/>
            <w:hideMark/>
          </w:tcPr>
          <w:p w14:paraId="2DD41E27" w14:textId="77777777" w:rsidR="005E626A" w:rsidRPr="003E3DFC" w:rsidRDefault="005E626A" w:rsidP="005E626A">
            <w:pPr>
              <w:spacing w:after="0"/>
              <w:jc w:val="center"/>
              <w:rPr>
                <w:rFonts w:eastAsia="Times New Roman"/>
                <w:b/>
                <w:sz w:val="22"/>
              </w:rPr>
            </w:pPr>
            <w:r w:rsidRPr="003E3DFC">
              <w:rPr>
                <w:rFonts w:eastAsia="Times New Roman"/>
                <w:b/>
                <w:sz w:val="22"/>
              </w:rPr>
              <w:t>2012</w:t>
            </w:r>
          </w:p>
        </w:tc>
        <w:tc>
          <w:tcPr>
            <w:tcW w:w="417" w:type="pct"/>
            <w:tcBorders>
              <w:top w:val="single" w:sz="4" w:space="0" w:color="808080"/>
              <w:left w:val="nil"/>
              <w:bottom w:val="single" w:sz="4" w:space="0" w:color="808080"/>
              <w:right w:val="single" w:sz="4" w:space="0" w:color="808080"/>
            </w:tcBorders>
            <w:shd w:val="clear" w:color="auto" w:fill="auto"/>
            <w:noWrap/>
            <w:vAlign w:val="center"/>
            <w:hideMark/>
          </w:tcPr>
          <w:p w14:paraId="3D957A0A" w14:textId="77777777" w:rsidR="005E626A" w:rsidRPr="003E3DFC" w:rsidRDefault="005E626A" w:rsidP="005E626A">
            <w:pPr>
              <w:spacing w:after="0"/>
              <w:jc w:val="center"/>
              <w:rPr>
                <w:rFonts w:eastAsia="Times New Roman"/>
                <w:b/>
                <w:sz w:val="22"/>
              </w:rPr>
            </w:pPr>
            <w:r w:rsidRPr="003E3DFC">
              <w:rPr>
                <w:rFonts w:eastAsia="Times New Roman"/>
                <w:b/>
                <w:sz w:val="22"/>
              </w:rPr>
              <w:t>2013</w:t>
            </w:r>
          </w:p>
        </w:tc>
      </w:tr>
      <w:tr w:rsidR="00B80334" w:rsidRPr="003E3DFC" w14:paraId="1F6C94A6" w14:textId="77777777" w:rsidTr="009D4003">
        <w:trPr>
          <w:trHeight w:val="300"/>
        </w:trPr>
        <w:tc>
          <w:tcPr>
            <w:tcW w:w="827" w:type="pct"/>
            <w:tcBorders>
              <w:top w:val="nil"/>
              <w:left w:val="single" w:sz="4" w:space="0" w:color="808080"/>
              <w:bottom w:val="single" w:sz="4" w:space="0" w:color="808080"/>
              <w:right w:val="single" w:sz="4" w:space="0" w:color="808080"/>
            </w:tcBorders>
            <w:shd w:val="clear" w:color="auto" w:fill="auto"/>
            <w:noWrap/>
            <w:vAlign w:val="center"/>
            <w:hideMark/>
          </w:tcPr>
          <w:p w14:paraId="4922D359" w14:textId="77777777" w:rsidR="005E626A" w:rsidRPr="003E3DFC" w:rsidRDefault="005E626A" w:rsidP="005E626A">
            <w:pPr>
              <w:spacing w:after="0"/>
              <w:jc w:val="left"/>
              <w:rPr>
                <w:rFonts w:eastAsia="Times New Roman"/>
                <w:b/>
                <w:sz w:val="22"/>
              </w:rPr>
            </w:pPr>
            <w:r w:rsidRPr="003E3DFC">
              <w:rPr>
                <w:rFonts w:eastAsia="Times New Roman"/>
                <w:b/>
                <w:sz w:val="22"/>
              </w:rPr>
              <w:t>Macedonia</w:t>
            </w:r>
          </w:p>
        </w:tc>
        <w:tc>
          <w:tcPr>
            <w:tcW w:w="417" w:type="pct"/>
            <w:tcBorders>
              <w:top w:val="nil"/>
              <w:left w:val="nil"/>
              <w:bottom w:val="single" w:sz="4" w:space="0" w:color="808080"/>
              <w:right w:val="single" w:sz="4" w:space="0" w:color="808080"/>
            </w:tcBorders>
            <w:shd w:val="clear" w:color="auto" w:fill="auto"/>
            <w:noWrap/>
            <w:vAlign w:val="center"/>
            <w:hideMark/>
          </w:tcPr>
          <w:p w14:paraId="5812DD8A" w14:textId="77777777" w:rsidR="005E626A" w:rsidRPr="003E3DFC" w:rsidRDefault="005E626A" w:rsidP="005E626A">
            <w:pPr>
              <w:spacing w:after="0"/>
              <w:jc w:val="center"/>
              <w:rPr>
                <w:rFonts w:eastAsia="Times New Roman"/>
                <w:sz w:val="22"/>
              </w:rPr>
            </w:pPr>
            <w:r w:rsidRPr="003E3DFC">
              <w:rPr>
                <w:rFonts w:eastAsia="Times New Roman"/>
                <w:sz w:val="22"/>
              </w:rPr>
              <w:t>28.9</w:t>
            </w:r>
          </w:p>
        </w:tc>
        <w:tc>
          <w:tcPr>
            <w:tcW w:w="417" w:type="pct"/>
            <w:tcBorders>
              <w:top w:val="nil"/>
              <w:left w:val="nil"/>
              <w:bottom w:val="single" w:sz="4" w:space="0" w:color="808080"/>
              <w:right w:val="single" w:sz="4" w:space="0" w:color="808080"/>
            </w:tcBorders>
            <w:shd w:val="clear" w:color="auto" w:fill="auto"/>
            <w:noWrap/>
            <w:vAlign w:val="center"/>
            <w:hideMark/>
          </w:tcPr>
          <w:p w14:paraId="66C9D9A9" w14:textId="77777777" w:rsidR="005E626A" w:rsidRPr="003E3DFC" w:rsidRDefault="005E626A" w:rsidP="005E626A">
            <w:pPr>
              <w:spacing w:after="0"/>
              <w:jc w:val="center"/>
              <w:rPr>
                <w:rFonts w:eastAsia="Times New Roman"/>
                <w:sz w:val="22"/>
              </w:rPr>
            </w:pPr>
            <w:r w:rsidRPr="003E3DFC">
              <w:rPr>
                <w:rFonts w:eastAsia="Times New Roman"/>
                <w:sz w:val="22"/>
              </w:rPr>
              <w:t>30.1</w:t>
            </w:r>
          </w:p>
        </w:tc>
        <w:tc>
          <w:tcPr>
            <w:tcW w:w="417" w:type="pct"/>
            <w:tcBorders>
              <w:top w:val="nil"/>
              <w:left w:val="nil"/>
              <w:bottom w:val="single" w:sz="4" w:space="0" w:color="808080"/>
              <w:right w:val="single" w:sz="4" w:space="0" w:color="808080"/>
            </w:tcBorders>
            <w:shd w:val="clear" w:color="auto" w:fill="auto"/>
            <w:noWrap/>
            <w:vAlign w:val="center"/>
            <w:hideMark/>
          </w:tcPr>
          <w:p w14:paraId="68B02320" w14:textId="77777777" w:rsidR="005E626A" w:rsidRPr="003E3DFC" w:rsidRDefault="005E626A" w:rsidP="005E626A">
            <w:pPr>
              <w:spacing w:after="0"/>
              <w:jc w:val="center"/>
              <w:rPr>
                <w:rFonts w:eastAsia="Times New Roman"/>
                <w:sz w:val="22"/>
              </w:rPr>
            </w:pPr>
            <w:r w:rsidRPr="003E3DFC">
              <w:rPr>
                <w:rFonts w:eastAsia="Times New Roman"/>
                <w:sz w:val="22"/>
              </w:rPr>
              <w:t>30.7</w:t>
            </w:r>
          </w:p>
        </w:tc>
        <w:tc>
          <w:tcPr>
            <w:tcW w:w="417" w:type="pct"/>
            <w:tcBorders>
              <w:top w:val="nil"/>
              <w:left w:val="nil"/>
              <w:bottom w:val="single" w:sz="4" w:space="0" w:color="808080"/>
              <w:right w:val="single" w:sz="4" w:space="0" w:color="808080"/>
            </w:tcBorders>
            <w:shd w:val="clear" w:color="auto" w:fill="auto"/>
            <w:noWrap/>
            <w:vAlign w:val="center"/>
            <w:hideMark/>
          </w:tcPr>
          <w:p w14:paraId="484070B2" w14:textId="77777777" w:rsidR="005E626A" w:rsidRPr="003E3DFC" w:rsidRDefault="005E626A" w:rsidP="005E626A">
            <w:pPr>
              <w:spacing w:after="0"/>
              <w:jc w:val="center"/>
              <w:rPr>
                <w:rFonts w:eastAsia="Times New Roman"/>
                <w:sz w:val="22"/>
              </w:rPr>
            </w:pPr>
            <w:r w:rsidRPr="003E3DFC">
              <w:rPr>
                <w:rFonts w:eastAsia="Times New Roman"/>
                <w:sz w:val="22"/>
              </w:rPr>
              <w:t>32.3</w:t>
            </w:r>
          </w:p>
        </w:tc>
        <w:tc>
          <w:tcPr>
            <w:tcW w:w="417" w:type="pct"/>
            <w:tcBorders>
              <w:top w:val="nil"/>
              <w:left w:val="nil"/>
              <w:bottom w:val="single" w:sz="4" w:space="0" w:color="808080"/>
              <w:right w:val="single" w:sz="4" w:space="0" w:color="808080"/>
            </w:tcBorders>
            <w:shd w:val="clear" w:color="auto" w:fill="auto"/>
            <w:noWrap/>
            <w:vAlign w:val="center"/>
            <w:hideMark/>
          </w:tcPr>
          <w:p w14:paraId="6B302FFB" w14:textId="77777777" w:rsidR="005E626A" w:rsidRPr="003E3DFC" w:rsidRDefault="005E626A" w:rsidP="005E626A">
            <w:pPr>
              <w:spacing w:after="0"/>
              <w:jc w:val="center"/>
              <w:rPr>
                <w:rFonts w:eastAsia="Times New Roman"/>
                <w:sz w:val="22"/>
              </w:rPr>
            </w:pPr>
            <w:r w:rsidRPr="003E3DFC">
              <w:rPr>
                <w:rFonts w:eastAsia="Times New Roman"/>
                <w:sz w:val="22"/>
              </w:rPr>
              <w:t>32.9</w:t>
            </w:r>
          </w:p>
        </w:tc>
        <w:tc>
          <w:tcPr>
            <w:tcW w:w="417" w:type="pct"/>
            <w:tcBorders>
              <w:top w:val="nil"/>
              <w:left w:val="nil"/>
              <w:bottom w:val="single" w:sz="4" w:space="0" w:color="808080"/>
              <w:right w:val="single" w:sz="4" w:space="0" w:color="808080"/>
            </w:tcBorders>
            <w:shd w:val="clear" w:color="auto" w:fill="auto"/>
            <w:noWrap/>
            <w:vAlign w:val="center"/>
            <w:hideMark/>
          </w:tcPr>
          <w:p w14:paraId="32ADAFCA" w14:textId="77777777" w:rsidR="005E626A" w:rsidRPr="003E3DFC" w:rsidRDefault="005E626A" w:rsidP="005E626A">
            <w:pPr>
              <w:spacing w:after="0"/>
              <w:jc w:val="center"/>
              <w:rPr>
                <w:rFonts w:eastAsia="Times New Roman"/>
                <w:sz w:val="22"/>
              </w:rPr>
            </w:pPr>
            <w:r w:rsidRPr="003E3DFC">
              <w:rPr>
                <w:rFonts w:eastAsia="Times New Roman"/>
                <w:sz w:val="22"/>
              </w:rPr>
              <w:t>33.5</w:t>
            </w:r>
          </w:p>
        </w:tc>
        <w:tc>
          <w:tcPr>
            <w:tcW w:w="417" w:type="pct"/>
            <w:tcBorders>
              <w:top w:val="nil"/>
              <w:left w:val="nil"/>
              <w:bottom w:val="single" w:sz="4" w:space="0" w:color="808080"/>
              <w:right w:val="single" w:sz="4" w:space="0" w:color="808080"/>
            </w:tcBorders>
            <w:shd w:val="clear" w:color="auto" w:fill="auto"/>
            <w:noWrap/>
            <w:vAlign w:val="center"/>
            <w:hideMark/>
          </w:tcPr>
          <w:p w14:paraId="4C3D98BF" w14:textId="77777777" w:rsidR="005E626A" w:rsidRPr="003E3DFC" w:rsidRDefault="005E626A" w:rsidP="005E626A">
            <w:pPr>
              <w:spacing w:after="0"/>
              <w:jc w:val="center"/>
              <w:rPr>
                <w:rFonts w:eastAsia="Times New Roman"/>
                <w:sz w:val="22"/>
              </w:rPr>
            </w:pPr>
            <w:r w:rsidRPr="003E3DFC">
              <w:rPr>
                <w:rFonts w:eastAsia="Times New Roman"/>
                <w:sz w:val="22"/>
              </w:rPr>
              <w:t>34.0</w:t>
            </w:r>
          </w:p>
        </w:tc>
        <w:tc>
          <w:tcPr>
            <w:tcW w:w="417" w:type="pct"/>
            <w:tcBorders>
              <w:top w:val="nil"/>
              <w:left w:val="nil"/>
              <w:bottom w:val="single" w:sz="4" w:space="0" w:color="808080"/>
              <w:right w:val="single" w:sz="4" w:space="0" w:color="808080"/>
            </w:tcBorders>
            <w:shd w:val="clear" w:color="auto" w:fill="auto"/>
            <w:noWrap/>
            <w:vAlign w:val="center"/>
            <w:hideMark/>
          </w:tcPr>
          <w:p w14:paraId="7219B259" w14:textId="77777777" w:rsidR="005E626A" w:rsidRPr="003E3DFC" w:rsidRDefault="005E626A" w:rsidP="005E626A">
            <w:pPr>
              <w:spacing w:after="0"/>
              <w:jc w:val="center"/>
              <w:rPr>
                <w:rFonts w:eastAsia="Times New Roman"/>
                <w:sz w:val="22"/>
              </w:rPr>
            </w:pPr>
            <w:r w:rsidRPr="003E3DFC">
              <w:rPr>
                <w:rFonts w:eastAsia="Times New Roman"/>
                <w:sz w:val="22"/>
              </w:rPr>
              <w:t>35.3</w:t>
            </w:r>
          </w:p>
        </w:tc>
        <w:tc>
          <w:tcPr>
            <w:tcW w:w="417" w:type="pct"/>
            <w:tcBorders>
              <w:top w:val="nil"/>
              <w:left w:val="nil"/>
              <w:bottom w:val="single" w:sz="4" w:space="0" w:color="808080"/>
              <w:right w:val="single" w:sz="4" w:space="0" w:color="808080"/>
            </w:tcBorders>
            <w:shd w:val="clear" w:color="auto" w:fill="auto"/>
            <w:noWrap/>
            <w:vAlign w:val="center"/>
            <w:hideMark/>
          </w:tcPr>
          <w:p w14:paraId="5EDBEDCD" w14:textId="77777777" w:rsidR="005E626A" w:rsidRPr="003E3DFC" w:rsidRDefault="005E626A" w:rsidP="005E626A">
            <w:pPr>
              <w:spacing w:after="0"/>
              <w:jc w:val="center"/>
              <w:rPr>
                <w:rFonts w:eastAsia="Times New Roman"/>
                <w:sz w:val="22"/>
              </w:rPr>
            </w:pPr>
            <w:r w:rsidRPr="003E3DFC">
              <w:rPr>
                <w:rFonts w:eastAsia="Times New Roman"/>
                <w:sz w:val="22"/>
              </w:rPr>
              <w:t>35.3</w:t>
            </w:r>
          </w:p>
        </w:tc>
        <w:tc>
          <w:tcPr>
            <w:tcW w:w="417" w:type="pct"/>
            <w:tcBorders>
              <w:top w:val="nil"/>
              <w:left w:val="nil"/>
              <w:bottom w:val="single" w:sz="4" w:space="0" w:color="808080"/>
              <w:right w:val="single" w:sz="4" w:space="0" w:color="808080"/>
            </w:tcBorders>
            <w:shd w:val="clear" w:color="auto" w:fill="auto"/>
            <w:noWrap/>
            <w:vAlign w:val="center"/>
            <w:hideMark/>
          </w:tcPr>
          <w:p w14:paraId="363EB9D9" w14:textId="77777777" w:rsidR="005E626A" w:rsidRPr="003E3DFC" w:rsidRDefault="005E626A" w:rsidP="005E626A">
            <w:pPr>
              <w:spacing w:after="0"/>
              <w:jc w:val="center"/>
              <w:rPr>
                <w:rFonts w:eastAsia="Times New Roman"/>
                <w:sz w:val="22"/>
              </w:rPr>
            </w:pPr>
            <w:r w:rsidRPr="003E3DFC">
              <w:rPr>
                <w:rFonts w:eastAsia="Times New Roman"/>
                <w:sz w:val="22"/>
              </w:rPr>
              <w:t>37.3</w:t>
            </w:r>
          </w:p>
        </w:tc>
      </w:tr>
      <w:tr w:rsidR="00B80334" w:rsidRPr="003E3DFC" w14:paraId="22B1D6BE" w14:textId="77777777" w:rsidTr="009D4003">
        <w:trPr>
          <w:trHeight w:val="300"/>
        </w:trPr>
        <w:tc>
          <w:tcPr>
            <w:tcW w:w="827" w:type="pct"/>
            <w:tcBorders>
              <w:top w:val="nil"/>
              <w:left w:val="single" w:sz="4" w:space="0" w:color="808080"/>
              <w:bottom w:val="single" w:sz="4" w:space="0" w:color="808080"/>
              <w:right w:val="single" w:sz="4" w:space="0" w:color="808080"/>
            </w:tcBorders>
            <w:shd w:val="clear" w:color="auto" w:fill="auto"/>
            <w:noWrap/>
            <w:vAlign w:val="center"/>
            <w:hideMark/>
          </w:tcPr>
          <w:p w14:paraId="238F5D7A" w14:textId="77777777" w:rsidR="005E626A" w:rsidRPr="003E3DFC" w:rsidRDefault="005E626A" w:rsidP="005E626A">
            <w:pPr>
              <w:spacing w:after="0"/>
              <w:jc w:val="left"/>
              <w:rPr>
                <w:rFonts w:eastAsia="Times New Roman"/>
                <w:b/>
                <w:sz w:val="22"/>
              </w:rPr>
            </w:pPr>
            <w:r w:rsidRPr="003E3DFC">
              <w:rPr>
                <w:rFonts w:eastAsia="Times New Roman"/>
                <w:b/>
                <w:sz w:val="22"/>
              </w:rPr>
              <w:t>Bulgaria</w:t>
            </w:r>
          </w:p>
        </w:tc>
        <w:tc>
          <w:tcPr>
            <w:tcW w:w="417" w:type="pct"/>
            <w:tcBorders>
              <w:top w:val="nil"/>
              <w:left w:val="nil"/>
              <w:bottom w:val="single" w:sz="4" w:space="0" w:color="808080"/>
              <w:right w:val="single" w:sz="4" w:space="0" w:color="808080"/>
            </w:tcBorders>
            <w:shd w:val="clear" w:color="auto" w:fill="auto"/>
            <w:noWrap/>
            <w:vAlign w:val="center"/>
            <w:hideMark/>
          </w:tcPr>
          <w:p w14:paraId="4E01DB80" w14:textId="77777777" w:rsidR="005E626A" w:rsidRPr="003E3DFC" w:rsidRDefault="005E626A" w:rsidP="005E626A">
            <w:pPr>
              <w:spacing w:after="0"/>
              <w:jc w:val="center"/>
              <w:rPr>
                <w:rFonts w:eastAsia="Times New Roman"/>
                <w:sz w:val="22"/>
              </w:rPr>
            </w:pPr>
            <w:r w:rsidRPr="003E3DFC">
              <w:rPr>
                <w:rFonts w:eastAsia="Times New Roman"/>
                <w:sz w:val="22"/>
              </w:rPr>
              <w:t>51.6</w:t>
            </w:r>
          </w:p>
        </w:tc>
        <w:tc>
          <w:tcPr>
            <w:tcW w:w="417" w:type="pct"/>
            <w:tcBorders>
              <w:top w:val="nil"/>
              <w:left w:val="nil"/>
              <w:bottom w:val="single" w:sz="4" w:space="0" w:color="808080"/>
              <w:right w:val="single" w:sz="4" w:space="0" w:color="808080"/>
            </w:tcBorders>
            <w:shd w:val="clear" w:color="auto" w:fill="auto"/>
            <w:noWrap/>
            <w:vAlign w:val="center"/>
            <w:hideMark/>
          </w:tcPr>
          <w:p w14:paraId="384E9099" w14:textId="77777777" w:rsidR="005E626A" w:rsidRPr="003E3DFC" w:rsidRDefault="005E626A" w:rsidP="005E626A">
            <w:pPr>
              <w:spacing w:after="0"/>
              <w:jc w:val="center"/>
              <w:rPr>
                <w:rFonts w:eastAsia="Times New Roman"/>
                <w:sz w:val="22"/>
              </w:rPr>
            </w:pPr>
            <w:r w:rsidRPr="003E3DFC">
              <w:rPr>
                <w:rFonts w:eastAsia="Times New Roman"/>
                <w:sz w:val="22"/>
              </w:rPr>
              <w:t>51.7</w:t>
            </w:r>
          </w:p>
        </w:tc>
        <w:tc>
          <w:tcPr>
            <w:tcW w:w="417" w:type="pct"/>
            <w:tcBorders>
              <w:top w:val="nil"/>
              <w:left w:val="nil"/>
              <w:bottom w:val="single" w:sz="4" w:space="0" w:color="808080"/>
              <w:right w:val="single" w:sz="4" w:space="0" w:color="808080"/>
            </w:tcBorders>
            <w:shd w:val="clear" w:color="auto" w:fill="auto"/>
            <w:noWrap/>
            <w:vAlign w:val="center"/>
            <w:hideMark/>
          </w:tcPr>
          <w:p w14:paraId="390E01EB" w14:textId="77777777" w:rsidR="005E626A" w:rsidRPr="003E3DFC" w:rsidRDefault="005E626A" w:rsidP="005E626A">
            <w:pPr>
              <w:spacing w:after="0"/>
              <w:jc w:val="center"/>
              <w:rPr>
                <w:rFonts w:eastAsia="Times New Roman"/>
                <w:sz w:val="22"/>
              </w:rPr>
            </w:pPr>
            <w:r w:rsidRPr="003E3DFC">
              <w:rPr>
                <w:rFonts w:eastAsia="Times New Roman"/>
                <w:sz w:val="22"/>
              </w:rPr>
              <w:t>54.6</w:t>
            </w:r>
          </w:p>
        </w:tc>
        <w:tc>
          <w:tcPr>
            <w:tcW w:w="417" w:type="pct"/>
            <w:tcBorders>
              <w:top w:val="nil"/>
              <w:left w:val="nil"/>
              <w:bottom w:val="single" w:sz="4" w:space="0" w:color="808080"/>
              <w:right w:val="single" w:sz="4" w:space="0" w:color="808080"/>
            </w:tcBorders>
            <w:shd w:val="clear" w:color="auto" w:fill="auto"/>
            <w:noWrap/>
            <w:vAlign w:val="center"/>
            <w:hideMark/>
          </w:tcPr>
          <w:p w14:paraId="696C6105" w14:textId="77777777" w:rsidR="005E626A" w:rsidRPr="003E3DFC" w:rsidRDefault="005E626A" w:rsidP="005E626A">
            <w:pPr>
              <w:spacing w:after="0"/>
              <w:jc w:val="center"/>
              <w:rPr>
                <w:rFonts w:eastAsia="Times New Roman"/>
                <w:sz w:val="22"/>
              </w:rPr>
            </w:pPr>
            <w:r w:rsidRPr="003E3DFC">
              <w:rPr>
                <w:rFonts w:eastAsia="Times New Roman"/>
                <w:sz w:val="22"/>
              </w:rPr>
              <w:t>57.6</w:t>
            </w:r>
          </w:p>
        </w:tc>
        <w:tc>
          <w:tcPr>
            <w:tcW w:w="417" w:type="pct"/>
            <w:tcBorders>
              <w:top w:val="nil"/>
              <w:left w:val="nil"/>
              <w:bottom w:val="single" w:sz="4" w:space="0" w:color="808080"/>
              <w:right w:val="single" w:sz="4" w:space="0" w:color="808080"/>
            </w:tcBorders>
            <w:shd w:val="clear" w:color="auto" w:fill="auto"/>
            <w:noWrap/>
            <w:vAlign w:val="center"/>
            <w:hideMark/>
          </w:tcPr>
          <w:p w14:paraId="7DD2F60C" w14:textId="77777777" w:rsidR="005E626A" w:rsidRPr="003E3DFC" w:rsidRDefault="005E626A" w:rsidP="005E626A">
            <w:pPr>
              <w:spacing w:after="0"/>
              <w:jc w:val="center"/>
              <w:rPr>
                <w:rFonts w:eastAsia="Times New Roman"/>
                <w:sz w:val="22"/>
              </w:rPr>
            </w:pPr>
            <w:r w:rsidRPr="003E3DFC">
              <w:rPr>
                <w:rFonts w:eastAsia="Times New Roman"/>
                <w:sz w:val="22"/>
              </w:rPr>
              <w:t>59.5</w:t>
            </w:r>
          </w:p>
        </w:tc>
        <w:tc>
          <w:tcPr>
            <w:tcW w:w="417" w:type="pct"/>
            <w:tcBorders>
              <w:top w:val="nil"/>
              <w:left w:val="nil"/>
              <w:bottom w:val="single" w:sz="4" w:space="0" w:color="808080"/>
              <w:right w:val="single" w:sz="4" w:space="0" w:color="808080"/>
            </w:tcBorders>
            <w:shd w:val="clear" w:color="auto" w:fill="auto"/>
            <w:noWrap/>
            <w:vAlign w:val="center"/>
            <w:hideMark/>
          </w:tcPr>
          <w:p w14:paraId="21362685" w14:textId="77777777" w:rsidR="005E626A" w:rsidRPr="003E3DFC" w:rsidRDefault="005E626A" w:rsidP="005E626A">
            <w:pPr>
              <w:spacing w:after="0"/>
              <w:jc w:val="center"/>
              <w:rPr>
                <w:rFonts w:eastAsia="Times New Roman"/>
                <w:sz w:val="22"/>
              </w:rPr>
            </w:pPr>
            <w:r w:rsidRPr="003E3DFC">
              <w:rPr>
                <w:rFonts w:eastAsia="Times New Roman"/>
                <w:sz w:val="22"/>
              </w:rPr>
              <w:t>58.3</w:t>
            </w:r>
          </w:p>
        </w:tc>
        <w:tc>
          <w:tcPr>
            <w:tcW w:w="417" w:type="pct"/>
            <w:tcBorders>
              <w:top w:val="nil"/>
              <w:left w:val="nil"/>
              <w:bottom w:val="single" w:sz="4" w:space="0" w:color="808080"/>
              <w:right w:val="single" w:sz="4" w:space="0" w:color="808080"/>
            </w:tcBorders>
            <w:shd w:val="clear" w:color="auto" w:fill="auto"/>
            <w:noWrap/>
            <w:vAlign w:val="center"/>
            <w:hideMark/>
          </w:tcPr>
          <w:p w14:paraId="35706F0B" w14:textId="77777777" w:rsidR="005E626A" w:rsidRPr="003E3DFC" w:rsidRDefault="005E626A" w:rsidP="005E626A">
            <w:pPr>
              <w:spacing w:after="0"/>
              <w:jc w:val="center"/>
              <w:rPr>
                <w:rFonts w:eastAsia="Times New Roman"/>
                <w:sz w:val="22"/>
              </w:rPr>
            </w:pPr>
            <w:r w:rsidRPr="003E3DFC">
              <w:rPr>
                <w:rFonts w:eastAsia="Times New Roman"/>
                <w:sz w:val="22"/>
              </w:rPr>
              <w:t>56.4</w:t>
            </w:r>
          </w:p>
        </w:tc>
        <w:tc>
          <w:tcPr>
            <w:tcW w:w="417" w:type="pct"/>
            <w:tcBorders>
              <w:top w:val="nil"/>
              <w:left w:val="nil"/>
              <w:bottom w:val="single" w:sz="4" w:space="0" w:color="808080"/>
              <w:right w:val="single" w:sz="4" w:space="0" w:color="808080"/>
            </w:tcBorders>
            <w:shd w:val="clear" w:color="auto" w:fill="auto"/>
            <w:noWrap/>
            <w:vAlign w:val="center"/>
            <w:hideMark/>
          </w:tcPr>
          <w:p w14:paraId="3560D1B6" w14:textId="77777777" w:rsidR="005E626A" w:rsidRPr="003E3DFC" w:rsidRDefault="005E626A" w:rsidP="005E626A">
            <w:pPr>
              <w:spacing w:after="0"/>
              <w:jc w:val="center"/>
              <w:rPr>
                <w:rFonts w:eastAsia="Times New Roman"/>
                <w:sz w:val="22"/>
              </w:rPr>
            </w:pPr>
            <w:r w:rsidRPr="003E3DFC">
              <w:rPr>
                <w:rFonts w:eastAsia="Times New Roman"/>
                <w:sz w:val="22"/>
              </w:rPr>
              <w:t>55.6</w:t>
            </w:r>
          </w:p>
        </w:tc>
        <w:tc>
          <w:tcPr>
            <w:tcW w:w="417" w:type="pct"/>
            <w:tcBorders>
              <w:top w:val="nil"/>
              <w:left w:val="nil"/>
              <w:bottom w:val="single" w:sz="4" w:space="0" w:color="808080"/>
              <w:right w:val="single" w:sz="4" w:space="0" w:color="808080"/>
            </w:tcBorders>
            <w:shd w:val="clear" w:color="auto" w:fill="auto"/>
            <w:noWrap/>
            <w:vAlign w:val="center"/>
            <w:hideMark/>
          </w:tcPr>
          <w:p w14:paraId="5E5A0F5A" w14:textId="77777777" w:rsidR="005E626A" w:rsidRPr="003E3DFC" w:rsidRDefault="005E626A" w:rsidP="005E626A">
            <w:pPr>
              <w:spacing w:after="0"/>
              <w:jc w:val="center"/>
              <w:rPr>
                <w:rFonts w:eastAsia="Times New Roman"/>
                <w:sz w:val="22"/>
              </w:rPr>
            </w:pPr>
            <w:r w:rsidRPr="003E3DFC">
              <w:rPr>
                <w:rFonts w:eastAsia="Times New Roman"/>
                <w:sz w:val="22"/>
              </w:rPr>
              <w:t>56.3</w:t>
            </w:r>
          </w:p>
        </w:tc>
        <w:tc>
          <w:tcPr>
            <w:tcW w:w="417" w:type="pct"/>
            <w:tcBorders>
              <w:top w:val="nil"/>
              <w:left w:val="nil"/>
              <w:bottom w:val="single" w:sz="4" w:space="0" w:color="808080"/>
              <w:right w:val="single" w:sz="4" w:space="0" w:color="808080"/>
            </w:tcBorders>
            <w:shd w:val="clear" w:color="auto" w:fill="auto"/>
            <w:noWrap/>
            <w:vAlign w:val="center"/>
            <w:hideMark/>
          </w:tcPr>
          <w:p w14:paraId="400BE08A" w14:textId="77777777" w:rsidR="005E626A" w:rsidRPr="003E3DFC" w:rsidRDefault="005E626A" w:rsidP="005E626A">
            <w:pPr>
              <w:spacing w:after="0"/>
              <w:jc w:val="center"/>
              <w:rPr>
                <w:rFonts w:eastAsia="Times New Roman"/>
                <w:sz w:val="22"/>
              </w:rPr>
            </w:pPr>
            <w:r w:rsidRPr="003E3DFC">
              <w:rPr>
                <w:rFonts w:eastAsia="Times New Roman"/>
                <w:sz w:val="22"/>
              </w:rPr>
              <w:t>56.8</w:t>
            </w:r>
          </w:p>
        </w:tc>
      </w:tr>
      <w:tr w:rsidR="00B80334" w:rsidRPr="003E3DFC" w14:paraId="3E3A28B7" w14:textId="77777777" w:rsidTr="009D4003">
        <w:trPr>
          <w:trHeight w:val="300"/>
        </w:trPr>
        <w:tc>
          <w:tcPr>
            <w:tcW w:w="827" w:type="pct"/>
            <w:tcBorders>
              <w:top w:val="nil"/>
              <w:left w:val="single" w:sz="4" w:space="0" w:color="808080"/>
              <w:bottom w:val="single" w:sz="4" w:space="0" w:color="808080"/>
              <w:right w:val="single" w:sz="4" w:space="0" w:color="808080"/>
            </w:tcBorders>
            <w:shd w:val="clear" w:color="auto" w:fill="auto"/>
            <w:noWrap/>
            <w:vAlign w:val="center"/>
            <w:hideMark/>
          </w:tcPr>
          <w:p w14:paraId="1B87EAE0" w14:textId="77777777" w:rsidR="005E626A" w:rsidRPr="003E3DFC" w:rsidRDefault="005E626A" w:rsidP="005E626A">
            <w:pPr>
              <w:spacing w:after="0"/>
              <w:jc w:val="left"/>
              <w:rPr>
                <w:rFonts w:eastAsia="Times New Roman"/>
                <w:b/>
                <w:sz w:val="22"/>
              </w:rPr>
            </w:pPr>
            <w:r w:rsidRPr="003E3DFC">
              <w:rPr>
                <w:rFonts w:eastAsia="Times New Roman"/>
                <w:b/>
                <w:sz w:val="22"/>
              </w:rPr>
              <w:t>Greece</w:t>
            </w:r>
          </w:p>
        </w:tc>
        <w:tc>
          <w:tcPr>
            <w:tcW w:w="417" w:type="pct"/>
            <w:tcBorders>
              <w:top w:val="nil"/>
              <w:left w:val="nil"/>
              <w:bottom w:val="single" w:sz="4" w:space="0" w:color="808080"/>
              <w:right w:val="single" w:sz="4" w:space="0" w:color="808080"/>
            </w:tcBorders>
            <w:shd w:val="clear" w:color="auto" w:fill="auto"/>
            <w:noWrap/>
            <w:vAlign w:val="center"/>
            <w:hideMark/>
          </w:tcPr>
          <w:p w14:paraId="484A6186" w14:textId="77777777" w:rsidR="005E626A" w:rsidRPr="003E3DFC" w:rsidRDefault="005E626A" w:rsidP="005E626A">
            <w:pPr>
              <w:spacing w:after="0"/>
              <w:jc w:val="center"/>
              <w:rPr>
                <w:rFonts w:eastAsia="Times New Roman"/>
                <w:sz w:val="22"/>
              </w:rPr>
            </w:pPr>
            <w:r w:rsidRPr="003E3DFC">
              <w:rPr>
                <w:rFonts w:eastAsia="Times New Roman"/>
                <w:sz w:val="22"/>
              </w:rPr>
              <w:t>45.5</w:t>
            </w:r>
          </w:p>
        </w:tc>
        <w:tc>
          <w:tcPr>
            <w:tcW w:w="417" w:type="pct"/>
            <w:tcBorders>
              <w:top w:val="nil"/>
              <w:left w:val="nil"/>
              <w:bottom w:val="single" w:sz="4" w:space="0" w:color="808080"/>
              <w:right w:val="single" w:sz="4" w:space="0" w:color="808080"/>
            </w:tcBorders>
            <w:shd w:val="clear" w:color="auto" w:fill="auto"/>
            <w:noWrap/>
            <w:vAlign w:val="center"/>
            <w:hideMark/>
          </w:tcPr>
          <w:p w14:paraId="688C3CD3" w14:textId="77777777" w:rsidR="005E626A" w:rsidRPr="003E3DFC" w:rsidRDefault="005E626A" w:rsidP="005E626A">
            <w:pPr>
              <w:spacing w:after="0"/>
              <w:jc w:val="center"/>
              <w:rPr>
                <w:rFonts w:eastAsia="Times New Roman"/>
                <w:sz w:val="22"/>
              </w:rPr>
            </w:pPr>
            <w:r w:rsidRPr="003E3DFC">
              <w:rPr>
                <w:rFonts w:eastAsia="Times New Roman"/>
                <w:sz w:val="22"/>
              </w:rPr>
              <w:t>46.0</w:t>
            </w:r>
          </w:p>
        </w:tc>
        <w:tc>
          <w:tcPr>
            <w:tcW w:w="417" w:type="pct"/>
            <w:tcBorders>
              <w:top w:val="nil"/>
              <w:left w:val="nil"/>
              <w:bottom w:val="single" w:sz="4" w:space="0" w:color="808080"/>
              <w:right w:val="single" w:sz="4" w:space="0" w:color="808080"/>
            </w:tcBorders>
            <w:shd w:val="clear" w:color="auto" w:fill="auto"/>
            <w:noWrap/>
            <w:vAlign w:val="center"/>
            <w:hideMark/>
          </w:tcPr>
          <w:p w14:paraId="6706611D" w14:textId="77777777" w:rsidR="005E626A" w:rsidRPr="003E3DFC" w:rsidRDefault="005E626A" w:rsidP="005E626A">
            <w:pPr>
              <w:spacing w:after="0"/>
              <w:jc w:val="center"/>
              <w:rPr>
                <w:rFonts w:eastAsia="Times New Roman"/>
                <w:sz w:val="22"/>
              </w:rPr>
            </w:pPr>
            <w:r w:rsidRPr="003E3DFC">
              <w:rPr>
                <w:rFonts w:eastAsia="Times New Roman"/>
                <w:sz w:val="22"/>
              </w:rPr>
              <w:t>47.3</w:t>
            </w:r>
          </w:p>
        </w:tc>
        <w:tc>
          <w:tcPr>
            <w:tcW w:w="417" w:type="pct"/>
            <w:tcBorders>
              <w:top w:val="nil"/>
              <w:left w:val="nil"/>
              <w:bottom w:val="single" w:sz="4" w:space="0" w:color="808080"/>
              <w:right w:val="single" w:sz="4" w:space="0" w:color="808080"/>
            </w:tcBorders>
            <w:shd w:val="clear" w:color="auto" w:fill="auto"/>
            <w:noWrap/>
            <w:vAlign w:val="center"/>
            <w:hideMark/>
          </w:tcPr>
          <w:p w14:paraId="7AC8760A" w14:textId="77777777" w:rsidR="005E626A" w:rsidRPr="003E3DFC" w:rsidRDefault="005E626A" w:rsidP="005E626A">
            <w:pPr>
              <w:spacing w:after="0"/>
              <w:jc w:val="center"/>
              <w:rPr>
                <w:rFonts w:eastAsia="Times New Roman"/>
                <w:sz w:val="22"/>
              </w:rPr>
            </w:pPr>
            <w:r w:rsidRPr="003E3DFC">
              <w:rPr>
                <w:rFonts w:eastAsia="Times New Roman"/>
                <w:sz w:val="22"/>
              </w:rPr>
              <w:t>47.7</w:t>
            </w:r>
          </w:p>
        </w:tc>
        <w:tc>
          <w:tcPr>
            <w:tcW w:w="417" w:type="pct"/>
            <w:tcBorders>
              <w:top w:val="nil"/>
              <w:left w:val="nil"/>
              <w:bottom w:val="single" w:sz="4" w:space="0" w:color="808080"/>
              <w:right w:val="single" w:sz="4" w:space="0" w:color="808080"/>
            </w:tcBorders>
            <w:shd w:val="clear" w:color="auto" w:fill="auto"/>
            <w:noWrap/>
            <w:vAlign w:val="center"/>
            <w:hideMark/>
          </w:tcPr>
          <w:p w14:paraId="77655C09" w14:textId="77777777" w:rsidR="005E626A" w:rsidRPr="003E3DFC" w:rsidRDefault="005E626A" w:rsidP="005E626A">
            <w:pPr>
              <w:spacing w:after="0"/>
              <w:jc w:val="center"/>
              <w:rPr>
                <w:rFonts w:eastAsia="Times New Roman"/>
                <w:sz w:val="22"/>
              </w:rPr>
            </w:pPr>
            <w:r w:rsidRPr="003E3DFC">
              <w:rPr>
                <w:rFonts w:eastAsia="Times New Roman"/>
                <w:sz w:val="22"/>
              </w:rPr>
              <w:t>48.6</w:t>
            </w:r>
          </w:p>
        </w:tc>
        <w:tc>
          <w:tcPr>
            <w:tcW w:w="417" w:type="pct"/>
            <w:tcBorders>
              <w:top w:val="nil"/>
              <w:left w:val="nil"/>
              <w:bottom w:val="single" w:sz="4" w:space="0" w:color="808080"/>
              <w:right w:val="single" w:sz="4" w:space="0" w:color="808080"/>
            </w:tcBorders>
            <w:shd w:val="clear" w:color="auto" w:fill="auto"/>
            <w:noWrap/>
            <w:vAlign w:val="center"/>
            <w:hideMark/>
          </w:tcPr>
          <w:p w14:paraId="0688AF99" w14:textId="77777777" w:rsidR="005E626A" w:rsidRPr="003E3DFC" w:rsidRDefault="005E626A" w:rsidP="005E626A">
            <w:pPr>
              <w:spacing w:after="0"/>
              <w:jc w:val="center"/>
              <w:rPr>
                <w:rFonts w:eastAsia="Times New Roman"/>
                <w:sz w:val="22"/>
              </w:rPr>
            </w:pPr>
            <w:r w:rsidRPr="003E3DFC">
              <w:rPr>
                <w:rFonts w:eastAsia="Times New Roman"/>
                <w:sz w:val="22"/>
              </w:rPr>
              <w:t>48.9</w:t>
            </w:r>
          </w:p>
        </w:tc>
        <w:tc>
          <w:tcPr>
            <w:tcW w:w="417" w:type="pct"/>
            <w:tcBorders>
              <w:top w:val="nil"/>
              <w:left w:val="nil"/>
              <w:bottom w:val="single" w:sz="4" w:space="0" w:color="808080"/>
              <w:right w:val="single" w:sz="4" w:space="0" w:color="808080"/>
            </w:tcBorders>
            <w:shd w:val="clear" w:color="auto" w:fill="auto"/>
            <w:noWrap/>
            <w:vAlign w:val="center"/>
            <w:hideMark/>
          </w:tcPr>
          <w:p w14:paraId="44C52A78" w14:textId="77777777" w:rsidR="005E626A" w:rsidRPr="003E3DFC" w:rsidRDefault="005E626A" w:rsidP="005E626A">
            <w:pPr>
              <w:spacing w:after="0"/>
              <w:jc w:val="center"/>
              <w:rPr>
                <w:rFonts w:eastAsia="Times New Roman"/>
                <w:sz w:val="22"/>
              </w:rPr>
            </w:pPr>
            <w:r w:rsidRPr="003E3DFC">
              <w:rPr>
                <w:rFonts w:eastAsia="Times New Roman"/>
                <w:sz w:val="22"/>
              </w:rPr>
              <w:t>48.0</w:t>
            </w:r>
          </w:p>
        </w:tc>
        <w:tc>
          <w:tcPr>
            <w:tcW w:w="417" w:type="pct"/>
            <w:tcBorders>
              <w:top w:val="nil"/>
              <w:left w:val="nil"/>
              <w:bottom w:val="single" w:sz="4" w:space="0" w:color="808080"/>
              <w:right w:val="single" w:sz="4" w:space="0" w:color="808080"/>
            </w:tcBorders>
            <w:shd w:val="clear" w:color="auto" w:fill="auto"/>
            <w:noWrap/>
            <w:vAlign w:val="center"/>
            <w:hideMark/>
          </w:tcPr>
          <w:p w14:paraId="5AFB05AC" w14:textId="77777777" w:rsidR="005E626A" w:rsidRPr="003E3DFC" w:rsidRDefault="005E626A" w:rsidP="005E626A">
            <w:pPr>
              <w:spacing w:after="0"/>
              <w:jc w:val="center"/>
              <w:rPr>
                <w:rFonts w:eastAsia="Times New Roman"/>
                <w:sz w:val="22"/>
              </w:rPr>
            </w:pPr>
            <w:r w:rsidRPr="003E3DFC">
              <w:rPr>
                <w:rFonts w:eastAsia="Times New Roman"/>
                <w:sz w:val="22"/>
              </w:rPr>
              <w:t>45.0</w:t>
            </w:r>
          </w:p>
        </w:tc>
        <w:tc>
          <w:tcPr>
            <w:tcW w:w="417" w:type="pct"/>
            <w:tcBorders>
              <w:top w:val="nil"/>
              <w:left w:val="nil"/>
              <w:bottom w:val="single" w:sz="4" w:space="0" w:color="808080"/>
              <w:right w:val="single" w:sz="4" w:space="0" w:color="808080"/>
            </w:tcBorders>
            <w:shd w:val="clear" w:color="auto" w:fill="auto"/>
            <w:noWrap/>
            <w:vAlign w:val="center"/>
            <w:hideMark/>
          </w:tcPr>
          <w:p w14:paraId="6B158DA5" w14:textId="77777777" w:rsidR="005E626A" w:rsidRPr="003E3DFC" w:rsidRDefault="005E626A" w:rsidP="005E626A">
            <w:pPr>
              <w:spacing w:after="0"/>
              <w:jc w:val="center"/>
              <w:rPr>
                <w:rFonts w:eastAsia="Times New Roman"/>
                <w:sz w:val="22"/>
              </w:rPr>
            </w:pPr>
            <w:r w:rsidRPr="003E3DFC">
              <w:rPr>
                <w:rFonts w:eastAsia="Times New Roman"/>
                <w:sz w:val="22"/>
              </w:rPr>
              <w:t>41.7</w:t>
            </w:r>
          </w:p>
        </w:tc>
        <w:tc>
          <w:tcPr>
            <w:tcW w:w="417" w:type="pct"/>
            <w:tcBorders>
              <w:top w:val="nil"/>
              <w:left w:val="nil"/>
              <w:bottom w:val="single" w:sz="4" w:space="0" w:color="808080"/>
              <w:right w:val="single" w:sz="4" w:space="0" w:color="808080"/>
            </w:tcBorders>
            <w:shd w:val="clear" w:color="auto" w:fill="auto"/>
            <w:noWrap/>
            <w:vAlign w:val="center"/>
            <w:hideMark/>
          </w:tcPr>
          <w:p w14:paraId="34E7DDF1" w14:textId="77777777" w:rsidR="005E626A" w:rsidRPr="003E3DFC" w:rsidRDefault="005E626A" w:rsidP="005E626A">
            <w:pPr>
              <w:spacing w:after="0"/>
              <w:jc w:val="center"/>
              <w:rPr>
                <w:rFonts w:eastAsia="Times New Roman"/>
                <w:sz w:val="22"/>
              </w:rPr>
            </w:pPr>
            <w:r w:rsidRPr="003E3DFC">
              <w:rPr>
                <w:rFonts w:eastAsia="Times New Roman"/>
                <w:sz w:val="22"/>
              </w:rPr>
              <w:t>39.9</w:t>
            </w:r>
          </w:p>
        </w:tc>
      </w:tr>
      <w:tr w:rsidR="00B80334" w:rsidRPr="003E3DFC" w14:paraId="03853F1B" w14:textId="77777777" w:rsidTr="009D4003">
        <w:trPr>
          <w:trHeight w:val="300"/>
        </w:trPr>
        <w:tc>
          <w:tcPr>
            <w:tcW w:w="827" w:type="pct"/>
            <w:tcBorders>
              <w:top w:val="nil"/>
              <w:left w:val="single" w:sz="4" w:space="0" w:color="808080"/>
              <w:bottom w:val="single" w:sz="4" w:space="0" w:color="808080"/>
              <w:right w:val="single" w:sz="4" w:space="0" w:color="808080"/>
            </w:tcBorders>
            <w:shd w:val="clear" w:color="auto" w:fill="auto"/>
            <w:noWrap/>
            <w:vAlign w:val="center"/>
            <w:hideMark/>
          </w:tcPr>
          <w:p w14:paraId="5838B6DE" w14:textId="77777777" w:rsidR="005E626A" w:rsidRPr="003E3DFC" w:rsidRDefault="005E626A" w:rsidP="005E626A">
            <w:pPr>
              <w:spacing w:after="0"/>
              <w:jc w:val="left"/>
              <w:rPr>
                <w:rFonts w:eastAsia="Times New Roman"/>
                <w:b/>
                <w:sz w:val="22"/>
              </w:rPr>
            </w:pPr>
            <w:r w:rsidRPr="003E3DFC">
              <w:rPr>
                <w:rFonts w:eastAsia="Times New Roman"/>
                <w:b/>
                <w:sz w:val="22"/>
              </w:rPr>
              <w:t>Croatia</w:t>
            </w:r>
          </w:p>
        </w:tc>
        <w:tc>
          <w:tcPr>
            <w:tcW w:w="417" w:type="pct"/>
            <w:tcBorders>
              <w:top w:val="nil"/>
              <w:left w:val="nil"/>
              <w:bottom w:val="single" w:sz="4" w:space="0" w:color="808080"/>
              <w:right w:val="single" w:sz="4" w:space="0" w:color="808080"/>
            </w:tcBorders>
            <w:shd w:val="clear" w:color="auto" w:fill="auto"/>
            <w:noWrap/>
            <w:vAlign w:val="center"/>
            <w:hideMark/>
          </w:tcPr>
          <w:p w14:paraId="12CC39F1" w14:textId="77777777" w:rsidR="005E626A" w:rsidRPr="003E3DFC" w:rsidRDefault="005E626A" w:rsidP="005E626A">
            <w:pPr>
              <w:spacing w:after="0"/>
              <w:jc w:val="center"/>
              <w:rPr>
                <w:rFonts w:eastAsia="Times New Roman"/>
                <w:sz w:val="22"/>
              </w:rPr>
            </w:pPr>
            <w:r w:rsidRPr="003E3DFC">
              <w:rPr>
                <w:rFonts w:eastAsia="Times New Roman"/>
                <w:sz w:val="22"/>
              </w:rPr>
              <w:t>47.8</w:t>
            </w:r>
          </w:p>
        </w:tc>
        <w:tc>
          <w:tcPr>
            <w:tcW w:w="417" w:type="pct"/>
            <w:tcBorders>
              <w:top w:val="nil"/>
              <w:left w:val="nil"/>
              <w:bottom w:val="single" w:sz="4" w:space="0" w:color="808080"/>
              <w:right w:val="single" w:sz="4" w:space="0" w:color="808080"/>
            </w:tcBorders>
            <w:shd w:val="clear" w:color="auto" w:fill="auto"/>
            <w:noWrap/>
            <w:vAlign w:val="center"/>
            <w:hideMark/>
          </w:tcPr>
          <w:p w14:paraId="3FD79D7B" w14:textId="77777777" w:rsidR="005E626A" w:rsidRPr="003E3DFC" w:rsidRDefault="005E626A" w:rsidP="005E626A">
            <w:pPr>
              <w:spacing w:after="0"/>
              <w:jc w:val="center"/>
              <w:rPr>
                <w:rFonts w:eastAsia="Times New Roman"/>
                <w:sz w:val="22"/>
              </w:rPr>
            </w:pPr>
            <w:r w:rsidRPr="003E3DFC">
              <w:rPr>
                <w:rFonts w:eastAsia="Times New Roman"/>
                <w:sz w:val="22"/>
              </w:rPr>
              <w:t>48.6</w:t>
            </w:r>
          </w:p>
        </w:tc>
        <w:tc>
          <w:tcPr>
            <w:tcW w:w="417" w:type="pct"/>
            <w:tcBorders>
              <w:top w:val="nil"/>
              <w:left w:val="nil"/>
              <w:bottom w:val="single" w:sz="4" w:space="0" w:color="808080"/>
              <w:right w:val="single" w:sz="4" w:space="0" w:color="808080"/>
            </w:tcBorders>
            <w:shd w:val="clear" w:color="auto" w:fill="auto"/>
            <w:noWrap/>
            <w:vAlign w:val="center"/>
            <w:hideMark/>
          </w:tcPr>
          <w:p w14:paraId="4DC143BC" w14:textId="77777777" w:rsidR="005E626A" w:rsidRPr="003E3DFC" w:rsidRDefault="005E626A" w:rsidP="005E626A">
            <w:pPr>
              <w:spacing w:after="0"/>
              <w:jc w:val="center"/>
              <w:rPr>
                <w:rFonts w:eastAsia="Times New Roman"/>
                <w:sz w:val="22"/>
              </w:rPr>
            </w:pPr>
            <w:r w:rsidRPr="003E3DFC">
              <w:rPr>
                <w:rFonts w:eastAsia="Times New Roman"/>
                <w:sz w:val="22"/>
              </w:rPr>
              <w:t>49.4</w:t>
            </w:r>
          </w:p>
        </w:tc>
        <w:tc>
          <w:tcPr>
            <w:tcW w:w="417" w:type="pct"/>
            <w:tcBorders>
              <w:top w:val="nil"/>
              <w:left w:val="nil"/>
              <w:bottom w:val="single" w:sz="4" w:space="0" w:color="808080"/>
              <w:right w:val="single" w:sz="4" w:space="0" w:color="808080"/>
            </w:tcBorders>
            <w:shd w:val="clear" w:color="auto" w:fill="auto"/>
            <w:noWrap/>
            <w:vAlign w:val="center"/>
            <w:hideMark/>
          </w:tcPr>
          <w:p w14:paraId="0A506B27" w14:textId="77777777" w:rsidR="005E626A" w:rsidRPr="003E3DFC" w:rsidRDefault="005E626A" w:rsidP="005E626A">
            <w:pPr>
              <w:spacing w:after="0"/>
              <w:jc w:val="center"/>
              <w:rPr>
                <w:rFonts w:eastAsia="Times New Roman"/>
                <w:sz w:val="22"/>
              </w:rPr>
            </w:pPr>
            <w:r w:rsidRPr="003E3DFC">
              <w:rPr>
                <w:rFonts w:eastAsia="Times New Roman"/>
                <w:sz w:val="22"/>
              </w:rPr>
              <w:t>51.6</w:t>
            </w:r>
          </w:p>
        </w:tc>
        <w:tc>
          <w:tcPr>
            <w:tcW w:w="417" w:type="pct"/>
            <w:tcBorders>
              <w:top w:val="nil"/>
              <w:left w:val="nil"/>
              <w:bottom w:val="single" w:sz="4" w:space="0" w:color="808080"/>
              <w:right w:val="single" w:sz="4" w:space="0" w:color="808080"/>
            </w:tcBorders>
            <w:shd w:val="clear" w:color="auto" w:fill="auto"/>
            <w:noWrap/>
            <w:vAlign w:val="center"/>
            <w:hideMark/>
          </w:tcPr>
          <w:p w14:paraId="4A2B6134" w14:textId="77777777" w:rsidR="005E626A" w:rsidRPr="003E3DFC" w:rsidRDefault="005E626A" w:rsidP="005E626A">
            <w:pPr>
              <w:spacing w:after="0"/>
              <w:jc w:val="center"/>
              <w:rPr>
                <w:rFonts w:eastAsia="Times New Roman"/>
                <w:sz w:val="22"/>
              </w:rPr>
            </w:pPr>
            <w:r w:rsidRPr="003E3DFC">
              <w:rPr>
                <w:rFonts w:eastAsia="Times New Roman"/>
                <w:sz w:val="22"/>
              </w:rPr>
              <w:t>52.7</w:t>
            </w:r>
          </w:p>
        </w:tc>
        <w:tc>
          <w:tcPr>
            <w:tcW w:w="417" w:type="pct"/>
            <w:tcBorders>
              <w:top w:val="nil"/>
              <w:left w:val="nil"/>
              <w:bottom w:val="single" w:sz="4" w:space="0" w:color="808080"/>
              <w:right w:val="single" w:sz="4" w:space="0" w:color="808080"/>
            </w:tcBorders>
            <w:shd w:val="clear" w:color="auto" w:fill="auto"/>
            <w:noWrap/>
            <w:vAlign w:val="center"/>
            <w:hideMark/>
          </w:tcPr>
          <w:p w14:paraId="7D3CDDE8" w14:textId="77777777" w:rsidR="005E626A" w:rsidRPr="003E3DFC" w:rsidRDefault="005E626A" w:rsidP="005E626A">
            <w:pPr>
              <w:spacing w:after="0"/>
              <w:jc w:val="center"/>
              <w:rPr>
                <w:rFonts w:eastAsia="Times New Roman"/>
                <w:sz w:val="22"/>
              </w:rPr>
            </w:pPr>
            <w:r w:rsidRPr="003E3DFC">
              <w:rPr>
                <w:rFonts w:eastAsia="Times New Roman"/>
                <w:sz w:val="22"/>
              </w:rPr>
              <w:t>53.7</w:t>
            </w:r>
          </w:p>
        </w:tc>
        <w:tc>
          <w:tcPr>
            <w:tcW w:w="417" w:type="pct"/>
            <w:tcBorders>
              <w:top w:val="nil"/>
              <w:left w:val="nil"/>
              <w:bottom w:val="single" w:sz="4" w:space="0" w:color="808080"/>
              <w:right w:val="single" w:sz="4" w:space="0" w:color="808080"/>
            </w:tcBorders>
            <w:shd w:val="clear" w:color="auto" w:fill="auto"/>
            <w:noWrap/>
            <w:vAlign w:val="center"/>
            <w:hideMark/>
          </w:tcPr>
          <w:p w14:paraId="2319FB34" w14:textId="77777777" w:rsidR="005E626A" w:rsidRPr="003E3DFC" w:rsidRDefault="005E626A" w:rsidP="005E626A">
            <w:pPr>
              <w:spacing w:after="0"/>
              <w:jc w:val="center"/>
              <w:rPr>
                <w:rFonts w:eastAsia="Times New Roman"/>
                <w:sz w:val="22"/>
              </w:rPr>
            </w:pPr>
            <w:r w:rsidRPr="003E3DFC">
              <w:rPr>
                <w:rFonts w:eastAsia="Times New Roman"/>
                <w:sz w:val="22"/>
              </w:rPr>
              <w:t>52.1</w:t>
            </w:r>
          </w:p>
        </w:tc>
        <w:tc>
          <w:tcPr>
            <w:tcW w:w="417" w:type="pct"/>
            <w:tcBorders>
              <w:top w:val="nil"/>
              <w:left w:val="nil"/>
              <w:bottom w:val="single" w:sz="4" w:space="0" w:color="808080"/>
              <w:right w:val="single" w:sz="4" w:space="0" w:color="808080"/>
            </w:tcBorders>
            <w:shd w:val="clear" w:color="auto" w:fill="auto"/>
            <w:noWrap/>
            <w:vAlign w:val="center"/>
            <w:hideMark/>
          </w:tcPr>
          <w:p w14:paraId="36C6BF5A" w14:textId="77777777" w:rsidR="005E626A" w:rsidRPr="003E3DFC" w:rsidRDefault="005E626A" w:rsidP="005E626A">
            <w:pPr>
              <w:spacing w:after="0"/>
              <w:jc w:val="center"/>
              <w:rPr>
                <w:rFonts w:eastAsia="Times New Roman"/>
                <w:sz w:val="22"/>
              </w:rPr>
            </w:pPr>
            <w:r w:rsidRPr="003E3DFC">
              <w:rPr>
                <w:rFonts w:eastAsia="Times New Roman"/>
                <w:sz w:val="22"/>
              </w:rPr>
              <w:t>49.5</w:t>
            </w:r>
          </w:p>
        </w:tc>
        <w:tc>
          <w:tcPr>
            <w:tcW w:w="417" w:type="pct"/>
            <w:tcBorders>
              <w:top w:val="nil"/>
              <w:left w:val="nil"/>
              <w:bottom w:val="single" w:sz="4" w:space="0" w:color="808080"/>
              <w:right w:val="single" w:sz="4" w:space="0" w:color="808080"/>
            </w:tcBorders>
            <w:shd w:val="clear" w:color="auto" w:fill="auto"/>
            <w:noWrap/>
            <w:vAlign w:val="center"/>
            <w:hideMark/>
          </w:tcPr>
          <w:p w14:paraId="01A7A1C9" w14:textId="77777777" w:rsidR="005E626A" w:rsidRPr="003E3DFC" w:rsidRDefault="005E626A" w:rsidP="005E626A">
            <w:pPr>
              <w:spacing w:after="0"/>
              <w:jc w:val="center"/>
              <w:rPr>
                <w:rFonts w:eastAsia="Times New Roman"/>
                <w:sz w:val="22"/>
              </w:rPr>
            </w:pPr>
            <w:r w:rsidRPr="003E3DFC">
              <w:rPr>
                <w:rFonts w:eastAsia="Times New Roman"/>
                <w:sz w:val="22"/>
              </w:rPr>
              <w:t>48.5</w:t>
            </w:r>
          </w:p>
        </w:tc>
        <w:tc>
          <w:tcPr>
            <w:tcW w:w="417" w:type="pct"/>
            <w:tcBorders>
              <w:top w:val="nil"/>
              <w:left w:val="nil"/>
              <w:bottom w:val="single" w:sz="4" w:space="0" w:color="808080"/>
              <w:right w:val="single" w:sz="4" w:space="0" w:color="808080"/>
            </w:tcBorders>
            <w:shd w:val="clear" w:color="auto" w:fill="auto"/>
            <w:noWrap/>
            <w:vAlign w:val="center"/>
            <w:hideMark/>
          </w:tcPr>
          <w:p w14:paraId="16F65771" w14:textId="77777777" w:rsidR="005E626A" w:rsidRPr="003E3DFC" w:rsidRDefault="005E626A" w:rsidP="005E626A">
            <w:pPr>
              <w:spacing w:after="0"/>
              <w:jc w:val="center"/>
              <w:rPr>
                <w:rFonts w:eastAsia="Times New Roman"/>
                <w:sz w:val="22"/>
              </w:rPr>
            </w:pPr>
            <w:r w:rsidRPr="003E3DFC">
              <w:rPr>
                <w:rFonts w:eastAsia="Times New Roman"/>
                <w:sz w:val="22"/>
              </w:rPr>
              <w:t>48.5</w:t>
            </w:r>
          </w:p>
        </w:tc>
      </w:tr>
      <w:tr w:rsidR="00B80334" w:rsidRPr="003E3DFC" w14:paraId="06E2D1FB" w14:textId="77777777" w:rsidTr="009D4003">
        <w:trPr>
          <w:trHeight w:val="300"/>
        </w:trPr>
        <w:tc>
          <w:tcPr>
            <w:tcW w:w="827" w:type="pct"/>
            <w:tcBorders>
              <w:top w:val="nil"/>
              <w:left w:val="single" w:sz="4" w:space="0" w:color="808080"/>
              <w:bottom w:val="single" w:sz="4" w:space="0" w:color="808080"/>
              <w:right w:val="single" w:sz="4" w:space="0" w:color="808080"/>
            </w:tcBorders>
            <w:shd w:val="clear" w:color="auto" w:fill="auto"/>
            <w:noWrap/>
            <w:vAlign w:val="center"/>
            <w:hideMark/>
          </w:tcPr>
          <w:p w14:paraId="29D29E81" w14:textId="77777777" w:rsidR="005E626A" w:rsidRPr="003E3DFC" w:rsidRDefault="005E626A" w:rsidP="005E626A">
            <w:pPr>
              <w:spacing w:after="0"/>
              <w:jc w:val="left"/>
              <w:rPr>
                <w:rFonts w:eastAsia="Times New Roman"/>
                <w:b/>
                <w:sz w:val="22"/>
              </w:rPr>
            </w:pPr>
            <w:r w:rsidRPr="003E3DFC">
              <w:rPr>
                <w:rFonts w:eastAsia="Times New Roman"/>
                <w:b/>
                <w:sz w:val="22"/>
              </w:rPr>
              <w:t>Slovenia</w:t>
            </w:r>
          </w:p>
        </w:tc>
        <w:tc>
          <w:tcPr>
            <w:tcW w:w="417" w:type="pct"/>
            <w:tcBorders>
              <w:top w:val="nil"/>
              <w:left w:val="nil"/>
              <w:bottom w:val="single" w:sz="4" w:space="0" w:color="808080"/>
              <w:right w:val="single" w:sz="4" w:space="0" w:color="808080"/>
            </w:tcBorders>
            <w:shd w:val="clear" w:color="auto" w:fill="auto"/>
            <w:noWrap/>
            <w:vAlign w:val="center"/>
            <w:hideMark/>
          </w:tcPr>
          <w:p w14:paraId="101772BA" w14:textId="77777777" w:rsidR="005E626A" w:rsidRPr="003E3DFC" w:rsidRDefault="005E626A" w:rsidP="005E626A">
            <w:pPr>
              <w:spacing w:after="0"/>
              <w:jc w:val="center"/>
              <w:rPr>
                <w:rFonts w:eastAsia="Times New Roman"/>
                <w:sz w:val="22"/>
              </w:rPr>
            </w:pPr>
            <w:r w:rsidRPr="003E3DFC">
              <w:rPr>
                <w:rFonts w:eastAsia="Times New Roman"/>
                <w:sz w:val="22"/>
              </w:rPr>
              <w:t>61.3</w:t>
            </w:r>
          </w:p>
        </w:tc>
        <w:tc>
          <w:tcPr>
            <w:tcW w:w="417" w:type="pct"/>
            <w:tcBorders>
              <w:top w:val="nil"/>
              <w:left w:val="nil"/>
              <w:bottom w:val="single" w:sz="4" w:space="0" w:color="808080"/>
              <w:right w:val="single" w:sz="4" w:space="0" w:color="808080"/>
            </w:tcBorders>
            <w:shd w:val="clear" w:color="auto" w:fill="auto"/>
            <w:noWrap/>
            <w:vAlign w:val="center"/>
            <w:hideMark/>
          </w:tcPr>
          <w:p w14:paraId="6E98F9B6" w14:textId="77777777" w:rsidR="005E626A" w:rsidRPr="003E3DFC" w:rsidRDefault="005E626A" w:rsidP="005E626A">
            <w:pPr>
              <w:spacing w:after="0"/>
              <w:jc w:val="center"/>
              <w:rPr>
                <w:rFonts w:eastAsia="Times New Roman"/>
                <w:sz w:val="22"/>
              </w:rPr>
            </w:pPr>
            <w:r w:rsidRPr="003E3DFC">
              <w:rPr>
                <w:rFonts w:eastAsia="Times New Roman"/>
                <w:sz w:val="22"/>
              </w:rPr>
              <w:t>61.3</w:t>
            </w:r>
          </w:p>
        </w:tc>
        <w:tc>
          <w:tcPr>
            <w:tcW w:w="417" w:type="pct"/>
            <w:tcBorders>
              <w:top w:val="nil"/>
              <w:left w:val="nil"/>
              <w:bottom w:val="single" w:sz="4" w:space="0" w:color="808080"/>
              <w:right w:val="single" w:sz="4" w:space="0" w:color="808080"/>
            </w:tcBorders>
            <w:shd w:val="clear" w:color="auto" w:fill="auto"/>
            <w:noWrap/>
            <w:vAlign w:val="center"/>
            <w:hideMark/>
          </w:tcPr>
          <w:p w14:paraId="7DB09CC8" w14:textId="77777777" w:rsidR="005E626A" w:rsidRPr="003E3DFC" w:rsidRDefault="005E626A" w:rsidP="005E626A">
            <w:pPr>
              <w:spacing w:after="0"/>
              <w:jc w:val="center"/>
              <w:rPr>
                <w:rFonts w:eastAsia="Times New Roman"/>
                <w:sz w:val="22"/>
              </w:rPr>
            </w:pPr>
            <w:r w:rsidRPr="003E3DFC">
              <w:rPr>
                <w:rFonts w:eastAsia="Times New Roman"/>
                <w:sz w:val="22"/>
              </w:rPr>
              <w:t>61.8</w:t>
            </w:r>
          </w:p>
        </w:tc>
        <w:tc>
          <w:tcPr>
            <w:tcW w:w="417" w:type="pct"/>
            <w:tcBorders>
              <w:top w:val="nil"/>
              <w:left w:val="nil"/>
              <w:bottom w:val="single" w:sz="4" w:space="0" w:color="808080"/>
              <w:right w:val="single" w:sz="4" w:space="0" w:color="808080"/>
            </w:tcBorders>
            <w:shd w:val="clear" w:color="auto" w:fill="auto"/>
            <w:noWrap/>
            <w:vAlign w:val="center"/>
            <w:hideMark/>
          </w:tcPr>
          <w:p w14:paraId="7B7BAF32" w14:textId="77777777" w:rsidR="005E626A" w:rsidRPr="003E3DFC" w:rsidRDefault="005E626A" w:rsidP="005E626A">
            <w:pPr>
              <w:spacing w:after="0"/>
              <w:jc w:val="center"/>
              <w:rPr>
                <w:rFonts w:eastAsia="Times New Roman"/>
                <w:sz w:val="22"/>
              </w:rPr>
            </w:pPr>
            <w:r w:rsidRPr="003E3DFC">
              <w:rPr>
                <w:rFonts w:eastAsia="Times New Roman"/>
                <w:sz w:val="22"/>
              </w:rPr>
              <w:t>62.6</w:t>
            </w:r>
          </w:p>
        </w:tc>
        <w:tc>
          <w:tcPr>
            <w:tcW w:w="417" w:type="pct"/>
            <w:tcBorders>
              <w:top w:val="nil"/>
              <w:left w:val="nil"/>
              <w:bottom w:val="single" w:sz="4" w:space="0" w:color="808080"/>
              <w:right w:val="single" w:sz="4" w:space="0" w:color="808080"/>
            </w:tcBorders>
            <w:shd w:val="clear" w:color="auto" w:fill="auto"/>
            <w:noWrap/>
            <w:vAlign w:val="center"/>
            <w:hideMark/>
          </w:tcPr>
          <w:p w14:paraId="52FD0BD2" w14:textId="77777777" w:rsidR="005E626A" w:rsidRPr="003E3DFC" w:rsidRDefault="005E626A" w:rsidP="005E626A">
            <w:pPr>
              <w:spacing w:after="0"/>
              <w:jc w:val="center"/>
              <w:rPr>
                <w:rFonts w:eastAsia="Times New Roman"/>
                <w:sz w:val="22"/>
              </w:rPr>
            </w:pPr>
            <w:r w:rsidRPr="003E3DFC">
              <w:rPr>
                <w:rFonts w:eastAsia="Times New Roman"/>
                <w:sz w:val="22"/>
              </w:rPr>
              <w:t>64.2</w:t>
            </w:r>
          </w:p>
        </w:tc>
        <w:tc>
          <w:tcPr>
            <w:tcW w:w="417" w:type="pct"/>
            <w:tcBorders>
              <w:top w:val="nil"/>
              <w:left w:val="nil"/>
              <w:bottom w:val="single" w:sz="4" w:space="0" w:color="808080"/>
              <w:right w:val="single" w:sz="4" w:space="0" w:color="808080"/>
            </w:tcBorders>
            <w:shd w:val="clear" w:color="auto" w:fill="auto"/>
            <w:noWrap/>
            <w:vAlign w:val="center"/>
            <w:hideMark/>
          </w:tcPr>
          <w:p w14:paraId="50BB5E77" w14:textId="77777777" w:rsidR="005E626A" w:rsidRPr="003E3DFC" w:rsidRDefault="005E626A" w:rsidP="005E626A">
            <w:pPr>
              <w:spacing w:after="0"/>
              <w:jc w:val="center"/>
              <w:rPr>
                <w:rFonts w:eastAsia="Times New Roman"/>
                <w:sz w:val="22"/>
              </w:rPr>
            </w:pPr>
            <w:r w:rsidRPr="003E3DFC">
              <w:rPr>
                <w:rFonts w:eastAsia="Times New Roman"/>
                <w:sz w:val="22"/>
              </w:rPr>
              <w:t>63.8</w:t>
            </w:r>
          </w:p>
        </w:tc>
        <w:tc>
          <w:tcPr>
            <w:tcW w:w="417" w:type="pct"/>
            <w:tcBorders>
              <w:top w:val="nil"/>
              <w:left w:val="nil"/>
              <w:bottom w:val="single" w:sz="4" w:space="0" w:color="808080"/>
              <w:right w:val="single" w:sz="4" w:space="0" w:color="808080"/>
            </w:tcBorders>
            <w:shd w:val="clear" w:color="auto" w:fill="auto"/>
            <w:noWrap/>
            <w:vAlign w:val="center"/>
            <w:hideMark/>
          </w:tcPr>
          <w:p w14:paraId="3F23D9A4" w14:textId="77777777" w:rsidR="005E626A" w:rsidRPr="003E3DFC" w:rsidRDefault="005E626A" w:rsidP="005E626A">
            <w:pPr>
              <w:spacing w:after="0"/>
              <w:jc w:val="center"/>
              <w:rPr>
                <w:rFonts w:eastAsia="Times New Roman"/>
                <w:sz w:val="22"/>
              </w:rPr>
            </w:pPr>
            <w:r w:rsidRPr="003E3DFC">
              <w:rPr>
                <w:rFonts w:eastAsia="Times New Roman"/>
                <w:sz w:val="22"/>
              </w:rPr>
              <w:t>62.6</w:t>
            </w:r>
          </w:p>
        </w:tc>
        <w:tc>
          <w:tcPr>
            <w:tcW w:w="417" w:type="pct"/>
            <w:tcBorders>
              <w:top w:val="nil"/>
              <w:left w:val="nil"/>
              <w:bottom w:val="single" w:sz="4" w:space="0" w:color="808080"/>
              <w:right w:val="single" w:sz="4" w:space="0" w:color="808080"/>
            </w:tcBorders>
            <w:shd w:val="clear" w:color="auto" w:fill="auto"/>
            <w:noWrap/>
            <w:vAlign w:val="center"/>
            <w:hideMark/>
          </w:tcPr>
          <w:p w14:paraId="5D613D52" w14:textId="77777777" w:rsidR="005E626A" w:rsidRPr="003E3DFC" w:rsidRDefault="005E626A" w:rsidP="005E626A">
            <w:pPr>
              <w:spacing w:after="0"/>
              <w:jc w:val="center"/>
              <w:rPr>
                <w:rFonts w:eastAsia="Times New Roman"/>
                <w:sz w:val="22"/>
              </w:rPr>
            </w:pPr>
            <w:r w:rsidRPr="003E3DFC">
              <w:rPr>
                <w:rFonts w:eastAsia="Times New Roman"/>
                <w:sz w:val="22"/>
              </w:rPr>
              <w:t>60.9</w:t>
            </w:r>
          </w:p>
        </w:tc>
        <w:tc>
          <w:tcPr>
            <w:tcW w:w="417" w:type="pct"/>
            <w:tcBorders>
              <w:top w:val="nil"/>
              <w:left w:val="nil"/>
              <w:bottom w:val="single" w:sz="4" w:space="0" w:color="808080"/>
              <w:right w:val="single" w:sz="4" w:space="0" w:color="808080"/>
            </w:tcBorders>
            <w:shd w:val="clear" w:color="auto" w:fill="auto"/>
            <w:noWrap/>
            <w:vAlign w:val="center"/>
            <w:hideMark/>
          </w:tcPr>
          <w:p w14:paraId="767A5D56" w14:textId="77777777" w:rsidR="005E626A" w:rsidRPr="003E3DFC" w:rsidRDefault="005E626A" w:rsidP="005E626A">
            <w:pPr>
              <w:spacing w:after="0"/>
              <w:jc w:val="center"/>
              <w:rPr>
                <w:rFonts w:eastAsia="Times New Roman"/>
                <w:sz w:val="22"/>
              </w:rPr>
            </w:pPr>
            <w:r w:rsidRPr="003E3DFC">
              <w:rPr>
                <w:rFonts w:eastAsia="Times New Roman"/>
                <w:sz w:val="22"/>
              </w:rPr>
              <w:t>60.5</w:t>
            </w:r>
          </w:p>
        </w:tc>
        <w:tc>
          <w:tcPr>
            <w:tcW w:w="417" w:type="pct"/>
            <w:tcBorders>
              <w:top w:val="nil"/>
              <w:left w:val="nil"/>
              <w:bottom w:val="single" w:sz="4" w:space="0" w:color="808080"/>
              <w:right w:val="single" w:sz="4" w:space="0" w:color="808080"/>
            </w:tcBorders>
            <w:shd w:val="clear" w:color="auto" w:fill="auto"/>
            <w:noWrap/>
            <w:vAlign w:val="center"/>
            <w:hideMark/>
          </w:tcPr>
          <w:p w14:paraId="4F5B9152" w14:textId="77777777" w:rsidR="005E626A" w:rsidRPr="003E3DFC" w:rsidRDefault="005E626A" w:rsidP="005E626A">
            <w:pPr>
              <w:spacing w:after="0"/>
              <w:jc w:val="center"/>
              <w:rPr>
                <w:rFonts w:eastAsia="Times New Roman"/>
                <w:sz w:val="22"/>
              </w:rPr>
            </w:pPr>
            <w:r w:rsidRPr="003E3DFC">
              <w:rPr>
                <w:rFonts w:eastAsia="Times New Roman"/>
                <w:sz w:val="22"/>
              </w:rPr>
              <w:t>59.2</w:t>
            </w:r>
          </w:p>
        </w:tc>
      </w:tr>
    </w:tbl>
    <w:p w14:paraId="51615950" w14:textId="0C8C0B14" w:rsidR="00D71414" w:rsidRPr="003E3DFC" w:rsidRDefault="00D71414" w:rsidP="00D71414">
      <w:pPr>
        <w:pStyle w:val="NoSpacing"/>
        <w:rPr>
          <w:lang w:val="en-GB"/>
        </w:rPr>
      </w:pPr>
      <w:r w:rsidRPr="003E3DFC">
        <w:rPr>
          <w:lang w:val="en-GB"/>
        </w:rPr>
        <w:t xml:space="preserve">Source: </w:t>
      </w:r>
      <w:r w:rsidR="0024167F" w:rsidRPr="003E3DFC">
        <w:rPr>
          <w:lang w:val="en-GB"/>
        </w:rPr>
        <w:t>Author’s own work based on LFS data from</w:t>
      </w:r>
      <w:r w:rsidRPr="003E3DFC">
        <w:rPr>
          <w:lang w:val="en-GB"/>
        </w:rPr>
        <w:t xml:space="preserve"> </w:t>
      </w:r>
      <w:r w:rsidR="0024167F" w:rsidRPr="003E3DFC">
        <w:rPr>
          <w:lang w:val="en-GB"/>
        </w:rPr>
        <w:t xml:space="preserve">the </w:t>
      </w:r>
      <w:r w:rsidRPr="003E3DFC">
        <w:rPr>
          <w:lang w:val="en-GB"/>
        </w:rPr>
        <w:t xml:space="preserve">State Statistical Office of </w:t>
      </w:r>
      <w:r w:rsidR="00C30864" w:rsidRPr="003E3DFC">
        <w:rPr>
          <w:lang w:val="en-GB"/>
        </w:rPr>
        <w:t>R. of Macedonia</w:t>
      </w:r>
      <w:r w:rsidRPr="003E3DFC">
        <w:rPr>
          <w:lang w:val="en-GB"/>
        </w:rPr>
        <w:t xml:space="preserve"> and Eurostat</w:t>
      </w:r>
    </w:p>
    <w:p w14:paraId="1EAC3AAA" w14:textId="77777777" w:rsidR="00D71414" w:rsidRPr="003E3DFC" w:rsidRDefault="00D71414" w:rsidP="006303F6">
      <w:pPr>
        <w:pStyle w:val="NoSpacing"/>
        <w:rPr>
          <w:lang w:val="en-GB"/>
        </w:rPr>
      </w:pPr>
    </w:p>
    <w:p w14:paraId="5053551D" w14:textId="79D7AC85" w:rsidR="00D71414" w:rsidRPr="003E3DFC" w:rsidRDefault="00587A7D" w:rsidP="006303F6">
      <w:pPr>
        <w:pStyle w:val="NoSpacing"/>
        <w:rPr>
          <w:lang w:val="en-GB"/>
        </w:rPr>
      </w:pPr>
      <w:r w:rsidRPr="003E3DFC">
        <w:rPr>
          <w:lang w:val="en-GB"/>
        </w:rPr>
        <w:t>Based on available data (since 2006 only), f</w:t>
      </w:r>
      <w:r w:rsidR="005F0150" w:rsidRPr="003E3DFC">
        <w:rPr>
          <w:lang w:val="en-GB"/>
        </w:rPr>
        <w:t>rom an</w:t>
      </w:r>
      <w:r w:rsidR="0074182A" w:rsidRPr="003E3DFC">
        <w:rPr>
          <w:lang w:val="en-GB"/>
        </w:rPr>
        <w:t xml:space="preserve"> educational </w:t>
      </w:r>
      <w:r w:rsidR="009A7E4F" w:rsidRPr="003E3DFC">
        <w:rPr>
          <w:lang w:val="en-GB"/>
        </w:rPr>
        <w:t>attainment perspective (figure 5</w:t>
      </w:r>
      <w:r w:rsidR="0074182A" w:rsidRPr="003E3DFC">
        <w:rPr>
          <w:lang w:val="en-GB"/>
        </w:rPr>
        <w:t>), female employment</w:t>
      </w:r>
      <w:r w:rsidR="00D71414" w:rsidRPr="003E3DFC">
        <w:rPr>
          <w:lang w:val="en-GB"/>
        </w:rPr>
        <w:t xml:space="preserve"> </w:t>
      </w:r>
      <w:r w:rsidR="0074182A" w:rsidRPr="003E3DFC">
        <w:rPr>
          <w:lang w:val="en-GB"/>
        </w:rPr>
        <w:t xml:space="preserve">in </w:t>
      </w:r>
      <w:r w:rsidR="00C30864" w:rsidRPr="003E3DFC">
        <w:rPr>
          <w:lang w:val="en-GB"/>
        </w:rPr>
        <w:t>R. of Macedonia</w:t>
      </w:r>
      <w:r w:rsidR="0074182A" w:rsidRPr="003E3DFC">
        <w:rPr>
          <w:lang w:val="en-GB"/>
        </w:rPr>
        <w:t xml:space="preserve"> </w:t>
      </w:r>
      <w:r w:rsidR="00D71414" w:rsidRPr="003E3DFC">
        <w:rPr>
          <w:lang w:val="en-GB"/>
        </w:rPr>
        <w:t>shows a decreasing trend for educated women</w:t>
      </w:r>
      <w:r w:rsidRPr="003E3DFC">
        <w:rPr>
          <w:lang w:val="en-GB"/>
        </w:rPr>
        <w:t xml:space="preserve"> with a 4.2 p.p. decrease </w:t>
      </w:r>
      <w:r w:rsidR="0074182A" w:rsidRPr="003E3DFC">
        <w:rPr>
          <w:lang w:val="en-GB"/>
        </w:rPr>
        <w:t>from 2006 to 2013</w:t>
      </w:r>
      <w:r w:rsidRPr="003E3DFC">
        <w:rPr>
          <w:lang w:val="en-GB"/>
        </w:rPr>
        <w:t>. A</w:t>
      </w:r>
      <w:r w:rsidR="0074182A" w:rsidRPr="003E3DFC">
        <w:rPr>
          <w:lang w:val="en-GB"/>
        </w:rPr>
        <w:t>n opposite trend for women with lower levels of educati</w:t>
      </w:r>
      <w:r w:rsidRPr="003E3DFC">
        <w:rPr>
          <w:lang w:val="en-GB"/>
        </w:rPr>
        <w:t>on is however observed. Observed data show that female employment amongst women with primary and lower secondary education (levels 0-2) has increased by 18.4% in the study period and 12.8 % in the case of women with upper secondary and post-secondary non-tertiary education (levels 3 and 4).</w:t>
      </w:r>
    </w:p>
    <w:p w14:paraId="27F50CB5" w14:textId="77777777" w:rsidR="006303F6" w:rsidRPr="003E3DFC" w:rsidRDefault="006303F6" w:rsidP="006303F6">
      <w:pPr>
        <w:pStyle w:val="NoSpacing"/>
        <w:rPr>
          <w:lang w:val="en-GB"/>
        </w:rPr>
      </w:pPr>
    </w:p>
    <w:p w14:paraId="7EF5470E" w14:textId="77777777" w:rsidR="00E43576" w:rsidRPr="003E3DFC" w:rsidRDefault="00D71414" w:rsidP="00D71414">
      <w:pPr>
        <w:pStyle w:val="Caption"/>
        <w:rPr>
          <w:i w:val="0"/>
          <w:color w:val="auto"/>
          <w:sz w:val="24"/>
        </w:rPr>
      </w:pPr>
      <w:r w:rsidRPr="003E3DFC">
        <w:rPr>
          <w:i w:val="0"/>
          <w:color w:val="auto"/>
          <w:sz w:val="24"/>
        </w:rPr>
        <w:t xml:space="preserve">Figure </w:t>
      </w:r>
      <w:r w:rsidRPr="003E3DFC">
        <w:rPr>
          <w:i w:val="0"/>
          <w:color w:val="auto"/>
          <w:sz w:val="24"/>
        </w:rPr>
        <w:fldChar w:fldCharType="begin"/>
      </w:r>
      <w:r w:rsidRPr="003E3DFC">
        <w:rPr>
          <w:i w:val="0"/>
          <w:color w:val="auto"/>
          <w:sz w:val="24"/>
        </w:rPr>
        <w:instrText xml:space="preserve"> SEQ Figure \* ARABIC </w:instrText>
      </w:r>
      <w:r w:rsidRPr="003E3DFC">
        <w:rPr>
          <w:i w:val="0"/>
          <w:color w:val="auto"/>
          <w:sz w:val="24"/>
        </w:rPr>
        <w:fldChar w:fldCharType="separate"/>
      </w:r>
      <w:r w:rsidR="009A7E4F" w:rsidRPr="003E3DFC">
        <w:rPr>
          <w:i w:val="0"/>
          <w:noProof/>
          <w:color w:val="auto"/>
          <w:sz w:val="24"/>
        </w:rPr>
        <w:t>5</w:t>
      </w:r>
      <w:r w:rsidRPr="003E3DFC">
        <w:rPr>
          <w:i w:val="0"/>
          <w:color w:val="auto"/>
          <w:sz w:val="24"/>
        </w:rPr>
        <w:fldChar w:fldCharType="end"/>
      </w:r>
      <w:r w:rsidRPr="003E3DFC">
        <w:rPr>
          <w:i w:val="0"/>
          <w:color w:val="auto"/>
          <w:sz w:val="24"/>
        </w:rPr>
        <w:t xml:space="preserve">: Female Employment Rate in </w:t>
      </w:r>
      <w:r w:rsidR="00C30864" w:rsidRPr="003E3DFC">
        <w:rPr>
          <w:i w:val="0"/>
          <w:color w:val="auto"/>
          <w:sz w:val="24"/>
        </w:rPr>
        <w:t>R. of Macedonia</w:t>
      </w:r>
      <w:r w:rsidRPr="003E3DFC">
        <w:rPr>
          <w:i w:val="0"/>
          <w:color w:val="auto"/>
          <w:sz w:val="24"/>
        </w:rPr>
        <w:t xml:space="preserve"> by Education 2006-2013 (%)</w:t>
      </w:r>
    </w:p>
    <w:p w14:paraId="22B3D2FB" w14:textId="57569389" w:rsidR="00E43576" w:rsidRPr="003E3DFC" w:rsidRDefault="006C06C9" w:rsidP="00D71414">
      <w:pPr>
        <w:pStyle w:val="NoSpacing"/>
        <w:rPr>
          <w:lang w:val="en-GB"/>
        </w:rPr>
      </w:pPr>
      <w:r w:rsidRPr="003E3DFC">
        <w:rPr>
          <w:noProof/>
          <w:lang w:val="bs-Latn-BA" w:eastAsia="bs-Latn-BA"/>
        </w:rPr>
        <w:drawing>
          <wp:inline distT="0" distB="0" distL="0" distR="0" wp14:anchorId="12E0FAB0" wp14:editId="0636136F">
            <wp:extent cx="5894070" cy="2710180"/>
            <wp:effectExtent l="0" t="0" r="0" b="0"/>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B1BA6D" w14:textId="77777777" w:rsidR="00D71414" w:rsidRPr="003E3DFC" w:rsidRDefault="00D71414" w:rsidP="00D71414">
      <w:pPr>
        <w:pStyle w:val="NoSpacing"/>
        <w:rPr>
          <w:lang w:val="en-GB"/>
        </w:rPr>
      </w:pPr>
      <w:r w:rsidRPr="003E3DFC">
        <w:rPr>
          <w:lang w:val="en-GB"/>
        </w:rPr>
        <w:lastRenderedPageBreak/>
        <w:t xml:space="preserve">Source: LFS, State Statistical Office of the </w:t>
      </w:r>
      <w:r w:rsidR="00C30864" w:rsidRPr="003E3DFC">
        <w:rPr>
          <w:lang w:val="en-GB"/>
        </w:rPr>
        <w:t>R. of Macedonia</w:t>
      </w:r>
    </w:p>
    <w:p w14:paraId="2849E03C" w14:textId="77777777" w:rsidR="00E43576" w:rsidRPr="003E3DFC" w:rsidRDefault="00E43576" w:rsidP="006303F6">
      <w:pPr>
        <w:pStyle w:val="NoSpacing"/>
        <w:rPr>
          <w:lang w:val="en-GB"/>
        </w:rPr>
      </w:pPr>
    </w:p>
    <w:p w14:paraId="352C2235" w14:textId="67DDCB65" w:rsidR="00D71414" w:rsidRPr="003E3DFC" w:rsidRDefault="00AA653B" w:rsidP="006303F6">
      <w:pPr>
        <w:pStyle w:val="NoSpacing"/>
        <w:rPr>
          <w:lang w:val="en-GB"/>
        </w:rPr>
      </w:pPr>
      <w:r w:rsidRPr="003E3DFC">
        <w:rPr>
          <w:lang w:val="en-GB"/>
        </w:rPr>
        <w:t xml:space="preserve">Compared to benchmark countries (table 3), the </w:t>
      </w:r>
      <w:r w:rsidR="00C30864" w:rsidRPr="003E3DFC">
        <w:rPr>
          <w:lang w:val="en-GB"/>
        </w:rPr>
        <w:t>R. of Macedonia</w:t>
      </w:r>
      <w:r w:rsidRPr="003E3DFC">
        <w:rPr>
          <w:lang w:val="en-GB"/>
        </w:rPr>
        <w:t xml:space="preserve"> lies significantly below each of the countries and across all educational levels. While looking specifically at female employment with tertiary education attainment a similar trend is seen with declining rates across all countries, but with Greece experiencing the most notable decline by 14.1 p.p. Opposite to other countries, </w:t>
      </w:r>
      <w:r w:rsidR="00C30864" w:rsidRPr="003E3DFC">
        <w:rPr>
          <w:lang w:val="en-GB"/>
        </w:rPr>
        <w:t>R. of Macedonia</w:t>
      </w:r>
      <w:r w:rsidRPr="003E3DFC">
        <w:rPr>
          <w:lang w:val="en-GB"/>
        </w:rPr>
        <w:t xml:space="preserve"> is the only country that has </w:t>
      </w:r>
      <w:r w:rsidR="00F46E98" w:rsidRPr="003E3DFC">
        <w:rPr>
          <w:lang w:val="en-GB"/>
        </w:rPr>
        <w:t>observed</w:t>
      </w:r>
      <w:r w:rsidRPr="003E3DFC">
        <w:rPr>
          <w:lang w:val="en-GB"/>
        </w:rPr>
        <w:t xml:space="preserve"> an increase from 2006-2013 in female employment amongst lower education levels.</w:t>
      </w:r>
    </w:p>
    <w:p w14:paraId="79291EDF" w14:textId="77777777" w:rsidR="00D71414" w:rsidRPr="003E3DFC" w:rsidRDefault="00D71414" w:rsidP="006303F6">
      <w:pPr>
        <w:pStyle w:val="NoSpacing"/>
        <w:rPr>
          <w:lang w:val="en-GB"/>
        </w:rPr>
      </w:pPr>
    </w:p>
    <w:p w14:paraId="39924620" w14:textId="442F8B85" w:rsidR="00D71414" w:rsidRPr="003E3DFC" w:rsidRDefault="00D71414" w:rsidP="00D71414">
      <w:pPr>
        <w:pStyle w:val="Caption"/>
        <w:rPr>
          <w:i w:val="0"/>
          <w:color w:val="auto"/>
          <w:sz w:val="24"/>
        </w:rPr>
      </w:pPr>
      <w:r w:rsidRPr="003E3DFC">
        <w:rPr>
          <w:i w:val="0"/>
          <w:color w:val="auto"/>
          <w:sz w:val="24"/>
        </w:rPr>
        <w:t xml:space="preserve">Table </w:t>
      </w:r>
      <w:r w:rsidRPr="003E3DFC">
        <w:rPr>
          <w:i w:val="0"/>
          <w:color w:val="auto"/>
          <w:sz w:val="24"/>
        </w:rPr>
        <w:fldChar w:fldCharType="begin"/>
      </w:r>
      <w:r w:rsidRPr="003E3DFC">
        <w:rPr>
          <w:i w:val="0"/>
          <w:color w:val="auto"/>
          <w:sz w:val="24"/>
        </w:rPr>
        <w:instrText xml:space="preserve"> SEQ Table \* ARABIC </w:instrText>
      </w:r>
      <w:r w:rsidRPr="003E3DFC">
        <w:rPr>
          <w:i w:val="0"/>
          <w:color w:val="auto"/>
          <w:sz w:val="24"/>
        </w:rPr>
        <w:fldChar w:fldCharType="separate"/>
      </w:r>
      <w:r w:rsidR="00F625BB" w:rsidRPr="003E3DFC">
        <w:rPr>
          <w:i w:val="0"/>
          <w:noProof/>
          <w:color w:val="auto"/>
          <w:sz w:val="24"/>
        </w:rPr>
        <w:t>3</w:t>
      </w:r>
      <w:r w:rsidRPr="003E3DFC">
        <w:rPr>
          <w:i w:val="0"/>
          <w:color w:val="auto"/>
          <w:sz w:val="24"/>
        </w:rPr>
        <w:fldChar w:fldCharType="end"/>
      </w:r>
      <w:r w:rsidR="003F1A12" w:rsidRPr="003E3DFC">
        <w:rPr>
          <w:i w:val="0"/>
          <w:color w:val="auto"/>
          <w:sz w:val="24"/>
        </w:rPr>
        <w:t>: Female employment rate by e</w:t>
      </w:r>
      <w:r w:rsidRPr="003E3DFC">
        <w:rPr>
          <w:i w:val="0"/>
          <w:color w:val="auto"/>
          <w:sz w:val="24"/>
        </w:rPr>
        <w:t>ducation (highest level attained) in select</w:t>
      </w:r>
      <w:r w:rsidR="00511969" w:rsidRPr="003E3DFC">
        <w:rPr>
          <w:i w:val="0"/>
          <w:color w:val="auto"/>
          <w:sz w:val="24"/>
        </w:rPr>
        <w:t>ed</w:t>
      </w:r>
      <w:r w:rsidR="003F1A12" w:rsidRPr="003E3DFC">
        <w:rPr>
          <w:i w:val="0"/>
          <w:color w:val="auto"/>
          <w:sz w:val="24"/>
        </w:rPr>
        <w:t xml:space="preserve"> Balkan c</w:t>
      </w:r>
      <w:r w:rsidRPr="003E3DFC">
        <w:rPr>
          <w:i w:val="0"/>
          <w:color w:val="auto"/>
          <w:sz w:val="24"/>
        </w:rPr>
        <w:t>ountries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9"/>
        <w:gridCol w:w="869"/>
        <w:gridCol w:w="870"/>
        <w:gridCol w:w="870"/>
        <w:gridCol w:w="870"/>
        <w:gridCol w:w="871"/>
        <w:gridCol w:w="870"/>
        <w:gridCol w:w="870"/>
        <w:gridCol w:w="866"/>
      </w:tblGrid>
      <w:tr w:rsidR="00D71414" w:rsidRPr="003E3DFC" w14:paraId="735C9202" w14:textId="77777777" w:rsidTr="00490E0E">
        <w:trPr>
          <w:trHeight w:val="285"/>
        </w:trPr>
        <w:tc>
          <w:tcPr>
            <w:tcW w:w="816" w:type="pct"/>
            <w:vMerge w:val="restart"/>
            <w:shd w:val="clear" w:color="auto" w:fill="auto"/>
            <w:vAlign w:val="center"/>
            <w:hideMark/>
          </w:tcPr>
          <w:p w14:paraId="3B990FDE" w14:textId="326071F5" w:rsidR="00D71414" w:rsidRPr="003E3DFC" w:rsidRDefault="00D71414" w:rsidP="00490E0E">
            <w:pPr>
              <w:pStyle w:val="NoSpacing"/>
              <w:jc w:val="center"/>
              <w:rPr>
                <w:b/>
                <w:sz w:val="22"/>
                <w:lang w:val="en-GB"/>
              </w:rPr>
            </w:pPr>
          </w:p>
        </w:tc>
        <w:tc>
          <w:tcPr>
            <w:tcW w:w="1394" w:type="pct"/>
            <w:gridSpan w:val="3"/>
            <w:shd w:val="clear" w:color="auto" w:fill="auto"/>
            <w:vAlign w:val="center"/>
            <w:hideMark/>
          </w:tcPr>
          <w:p w14:paraId="7A02941B" w14:textId="77777777" w:rsidR="00D71414" w:rsidRPr="003E3DFC" w:rsidRDefault="00D71414" w:rsidP="00490E0E">
            <w:pPr>
              <w:pStyle w:val="NoSpacing"/>
              <w:jc w:val="center"/>
              <w:rPr>
                <w:b/>
                <w:sz w:val="22"/>
                <w:lang w:val="en-GB"/>
              </w:rPr>
            </w:pPr>
            <w:r w:rsidRPr="003E3DFC">
              <w:rPr>
                <w:b/>
                <w:sz w:val="22"/>
                <w:lang w:val="en-GB"/>
              </w:rPr>
              <w:t>2006</w:t>
            </w:r>
          </w:p>
        </w:tc>
        <w:tc>
          <w:tcPr>
            <w:tcW w:w="1396" w:type="pct"/>
            <w:gridSpan w:val="3"/>
            <w:shd w:val="clear" w:color="auto" w:fill="auto"/>
            <w:vAlign w:val="center"/>
            <w:hideMark/>
          </w:tcPr>
          <w:p w14:paraId="4FF8D58E" w14:textId="77777777" w:rsidR="00D71414" w:rsidRPr="003E3DFC" w:rsidRDefault="00D71414" w:rsidP="00490E0E">
            <w:pPr>
              <w:pStyle w:val="NoSpacing"/>
              <w:jc w:val="center"/>
              <w:rPr>
                <w:b/>
                <w:sz w:val="22"/>
                <w:lang w:val="en-GB"/>
              </w:rPr>
            </w:pPr>
            <w:r w:rsidRPr="003E3DFC">
              <w:rPr>
                <w:b/>
                <w:sz w:val="22"/>
                <w:lang w:val="en-GB"/>
              </w:rPr>
              <w:t>2013</w:t>
            </w:r>
          </w:p>
        </w:tc>
        <w:tc>
          <w:tcPr>
            <w:tcW w:w="1395" w:type="pct"/>
            <w:gridSpan w:val="3"/>
            <w:shd w:val="clear" w:color="auto" w:fill="auto"/>
            <w:vAlign w:val="center"/>
            <w:hideMark/>
          </w:tcPr>
          <w:p w14:paraId="18258B45" w14:textId="77777777" w:rsidR="00D71414" w:rsidRPr="003E3DFC" w:rsidRDefault="00D71414" w:rsidP="00490E0E">
            <w:pPr>
              <w:pStyle w:val="NoSpacing"/>
              <w:jc w:val="center"/>
              <w:rPr>
                <w:b/>
                <w:sz w:val="22"/>
                <w:lang w:val="en-GB"/>
              </w:rPr>
            </w:pPr>
            <w:r w:rsidRPr="003E3DFC">
              <w:rPr>
                <w:b/>
                <w:sz w:val="22"/>
                <w:lang w:val="en-GB"/>
              </w:rPr>
              <w:t>Change from 2006 in Percent Point</w:t>
            </w:r>
          </w:p>
        </w:tc>
      </w:tr>
      <w:tr w:rsidR="00D71414" w:rsidRPr="003E3DFC" w14:paraId="67C646C4" w14:textId="77777777" w:rsidTr="00490E0E">
        <w:trPr>
          <w:trHeight w:val="285"/>
        </w:trPr>
        <w:tc>
          <w:tcPr>
            <w:tcW w:w="816" w:type="pct"/>
            <w:vMerge/>
            <w:shd w:val="clear" w:color="auto" w:fill="auto"/>
            <w:vAlign w:val="center"/>
            <w:hideMark/>
          </w:tcPr>
          <w:p w14:paraId="415A3C8E" w14:textId="77777777" w:rsidR="00D71414" w:rsidRPr="003E3DFC" w:rsidRDefault="00D71414" w:rsidP="00490E0E">
            <w:pPr>
              <w:pStyle w:val="NoSpacing"/>
              <w:jc w:val="center"/>
              <w:rPr>
                <w:b/>
                <w:sz w:val="22"/>
                <w:lang w:val="en-GB"/>
              </w:rPr>
            </w:pPr>
          </w:p>
        </w:tc>
        <w:tc>
          <w:tcPr>
            <w:tcW w:w="465" w:type="pct"/>
            <w:shd w:val="clear" w:color="auto" w:fill="auto"/>
            <w:vAlign w:val="center"/>
            <w:hideMark/>
          </w:tcPr>
          <w:p w14:paraId="3DD1E7BB" w14:textId="77777777" w:rsidR="00D71414" w:rsidRPr="003E3DFC" w:rsidRDefault="00D71414" w:rsidP="00490E0E">
            <w:pPr>
              <w:pStyle w:val="NoSpacing"/>
              <w:jc w:val="center"/>
              <w:rPr>
                <w:b/>
                <w:sz w:val="22"/>
                <w:lang w:val="en-GB"/>
              </w:rPr>
            </w:pPr>
            <w:r w:rsidRPr="003E3DFC">
              <w:rPr>
                <w:b/>
                <w:sz w:val="22"/>
                <w:lang w:val="en-GB"/>
              </w:rPr>
              <w:t>Level 0-2</w:t>
            </w:r>
          </w:p>
        </w:tc>
        <w:tc>
          <w:tcPr>
            <w:tcW w:w="465" w:type="pct"/>
            <w:shd w:val="clear" w:color="auto" w:fill="auto"/>
            <w:vAlign w:val="center"/>
            <w:hideMark/>
          </w:tcPr>
          <w:p w14:paraId="38B3CA19" w14:textId="77777777" w:rsidR="00D71414" w:rsidRPr="003E3DFC" w:rsidRDefault="00D71414" w:rsidP="00490E0E">
            <w:pPr>
              <w:pStyle w:val="NoSpacing"/>
              <w:jc w:val="center"/>
              <w:rPr>
                <w:b/>
                <w:sz w:val="22"/>
                <w:lang w:val="en-GB"/>
              </w:rPr>
            </w:pPr>
            <w:r w:rsidRPr="003E3DFC">
              <w:rPr>
                <w:b/>
                <w:sz w:val="22"/>
                <w:lang w:val="en-GB"/>
              </w:rPr>
              <w:t>Level 3-4</w:t>
            </w:r>
          </w:p>
        </w:tc>
        <w:tc>
          <w:tcPr>
            <w:tcW w:w="465" w:type="pct"/>
            <w:shd w:val="clear" w:color="auto" w:fill="auto"/>
            <w:vAlign w:val="center"/>
            <w:hideMark/>
          </w:tcPr>
          <w:p w14:paraId="645D00C3" w14:textId="77777777" w:rsidR="00D71414" w:rsidRPr="003E3DFC" w:rsidRDefault="00D71414" w:rsidP="00490E0E">
            <w:pPr>
              <w:pStyle w:val="NoSpacing"/>
              <w:jc w:val="center"/>
              <w:rPr>
                <w:b/>
                <w:sz w:val="22"/>
                <w:lang w:val="en-GB"/>
              </w:rPr>
            </w:pPr>
            <w:r w:rsidRPr="003E3DFC">
              <w:rPr>
                <w:b/>
                <w:sz w:val="22"/>
                <w:lang w:val="en-GB"/>
              </w:rPr>
              <w:t>Level 5-8</w:t>
            </w:r>
          </w:p>
        </w:tc>
        <w:tc>
          <w:tcPr>
            <w:tcW w:w="465" w:type="pct"/>
            <w:shd w:val="clear" w:color="auto" w:fill="auto"/>
            <w:vAlign w:val="center"/>
            <w:hideMark/>
          </w:tcPr>
          <w:p w14:paraId="5EF33751" w14:textId="77777777" w:rsidR="00D71414" w:rsidRPr="003E3DFC" w:rsidRDefault="00D71414" w:rsidP="00490E0E">
            <w:pPr>
              <w:pStyle w:val="NoSpacing"/>
              <w:jc w:val="center"/>
              <w:rPr>
                <w:b/>
                <w:sz w:val="22"/>
                <w:lang w:val="en-GB"/>
              </w:rPr>
            </w:pPr>
            <w:r w:rsidRPr="003E3DFC">
              <w:rPr>
                <w:b/>
                <w:sz w:val="22"/>
                <w:lang w:val="en-GB"/>
              </w:rPr>
              <w:t>Level 0-2</w:t>
            </w:r>
          </w:p>
        </w:tc>
        <w:tc>
          <w:tcPr>
            <w:tcW w:w="465" w:type="pct"/>
            <w:shd w:val="clear" w:color="auto" w:fill="auto"/>
            <w:vAlign w:val="center"/>
            <w:hideMark/>
          </w:tcPr>
          <w:p w14:paraId="339E0FA5" w14:textId="77777777" w:rsidR="00D71414" w:rsidRPr="003E3DFC" w:rsidRDefault="00D71414" w:rsidP="00490E0E">
            <w:pPr>
              <w:pStyle w:val="NoSpacing"/>
              <w:jc w:val="center"/>
              <w:rPr>
                <w:b/>
                <w:sz w:val="22"/>
                <w:lang w:val="en-GB"/>
              </w:rPr>
            </w:pPr>
            <w:r w:rsidRPr="003E3DFC">
              <w:rPr>
                <w:b/>
                <w:sz w:val="22"/>
                <w:lang w:val="en-GB"/>
              </w:rPr>
              <w:t>Level 3-4</w:t>
            </w:r>
          </w:p>
        </w:tc>
        <w:tc>
          <w:tcPr>
            <w:tcW w:w="465" w:type="pct"/>
            <w:shd w:val="clear" w:color="auto" w:fill="auto"/>
            <w:vAlign w:val="center"/>
            <w:hideMark/>
          </w:tcPr>
          <w:p w14:paraId="51CAF206" w14:textId="77777777" w:rsidR="00D71414" w:rsidRPr="003E3DFC" w:rsidRDefault="00D71414" w:rsidP="00490E0E">
            <w:pPr>
              <w:pStyle w:val="NoSpacing"/>
              <w:jc w:val="center"/>
              <w:rPr>
                <w:b/>
                <w:sz w:val="22"/>
                <w:lang w:val="en-GB"/>
              </w:rPr>
            </w:pPr>
            <w:r w:rsidRPr="003E3DFC">
              <w:rPr>
                <w:b/>
                <w:sz w:val="22"/>
                <w:lang w:val="en-GB"/>
              </w:rPr>
              <w:t>Level 5-8</w:t>
            </w:r>
          </w:p>
        </w:tc>
        <w:tc>
          <w:tcPr>
            <w:tcW w:w="465" w:type="pct"/>
            <w:shd w:val="clear" w:color="auto" w:fill="auto"/>
            <w:vAlign w:val="center"/>
            <w:hideMark/>
          </w:tcPr>
          <w:p w14:paraId="71B3BC26" w14:textId="77777777" w:rsidR="00D71414" w:rsidRPr="003E3DFC" w:rsidRDefault="00D71414" w:rsidP="00490E0E">
            <w:pPr>
              <w:pStyle w:val="NoSpacing"/>
              <w:jc w:val="center"/>
              <w:rPr>
                <w:b/>
                <w:sz w:val="22"/>
                <w:lang w:val="en-GB"/>
              </w:rPr>
            </w:pPr>
            <w:r w:rsidRPr="003E3DFC">
              <w:rPr>
                <w:b/>
                <w:sz w:val="22"/>
                <w:lang w:val="en-GB"/>
              </w:rPr>
              <w:t>Level 0-2</w:t>
            </w:r>
          </w:p>
        </w:tc>
        <w:tc>
          <w:tcPr>
            <w:tcW w:w="465" w:type="pct"/>
            <w:shd w:val="clear" w:color="auto" w:fill="auto"/>
            <w:vAlign w:val="center"/>
            <w:hideMark/>
          </w:tcPr>
          <w:p w14:paraId="1745F432" w14:textId="77777777" w:rsidR="00D71414" w:rsidRPr="003E3DFC" w:rsidRDefault="00D71414" w:rsidP="00490E0E">
            <w:pPr>
              <w:pStyle w:val="NoSpacing"/>
              <w:jc w:val="center"/>
              <w:rPr>
                <w:b/>
                <w:sz w:val="22"/>
                <w:lang w:val="en-GB"/>
              </w:rPr>
            </w:pPr>
            <w:r w:rsidRPr="003E3DFC">
              <w:rPr>
                <w:b/>
                <w:sz w:val="22"/>
                <w:lang w:val="en-GB"/>
              </w:rPr>
              <w:t>Level 3-4</w:t>
            </w:r>
          </w:p>
        </w:tc>
        <w:tc>
          <w:tcPr>
            <w:tcW w:w="464" w:type="pct"/>
            <w:shd w:val="clear" w:color="auto" w:fill="auto"/>
            <w:vAlign w:val="center"/>
            <w:hideMark/>
          </w:tcPr>
          <w:p w14:paraId="71B5D556" w14:textId="77777777" w:rsidR="00D71414" w:rsidRPr="003E3DFC" w:rsidRDefault="00D71414" w:rsidP="00490E0E">
            <w:pPr>
              <w:pStyle w:val="NoSpacing"/>
              <w:jc w:val="center"/>
              <w:rPr>
                <w:b/>
                <w:sz w:val="22"/>
                <w:lang w:val="en-GB"/>
              </w:rPr>
            </w:pPr>
            <w:r w:rsidRPr="003E3DFC">
              <w:rPr>
                <w:b/>
                <w:sz w:val="22"/>
                <w:lang w:val="en-GB"/>
              </w:rPr>
              <w:t>Level 5-8</w:t>
            </w:r>
          </w:p>
        </w:tc>
      </w:tr>
      <w:tr w:rsidR="00D71414" w:rsidRPr="003E3DFC" w14:paraId="626F58AC" w14:textId="77777777" w:rsidTr="00490E0E">
        <w:trPr>
          <w:trHeight w:val="285"/>
        </w:trPr>
        <w:tc>
          <w:tcPr>
            <w:tcW w:w="816" w:type="pct"/>
            <w:shd w:val="clear" w:color="auto" w:fill="auto"/>
            <w:vAlign w:val="center"/>
            <w:hideMark/>
          </w:tcPr>
          <w:p w14:paraId="3C95B73A" w14:textId="77777777" w:rsidR="00D71414" w:rsidRPr="003E3DFC" w:rsidRDefault="00D71414" w:rsidP="00B80334">
            <w:pPr>
              <w:pStyle w:val="NoSpacing"/>
              <w:jc w:val="left"/>
              <w:rPr>
                <w:b/>
                <w:sz w:val="22"/>
                <w:lang w:val="en-GB"/>
              </w:rPr>
            </w:pPr>
            <w:r w:rsidRPr="003E3DFC">
              <w:rPr>
                <w:b/>
                <w:sz w:val="22"/>
                <w:lang w:val="en-GB"/>
              </w:rPr>
              <w:t>Bulgaria</w:t>
            </w:r>
          </w:p>
        </w:tc>
        <w:tc>
          <w:tcPr>
            <w:tcW w:w="465" w:type="pct"/>
            <w:shd w:val="clear" w:color="auto" w:fill="auto"/>
            <w:vAlign w:val="center"/>
            <w:hideMark/>
          </w:tcPr>
          <w:p w14:paraId="56A306BC" w14:textId="77777777" w:rsidR="00D71414" w:rsidRPr="003E3DFC" w:rsidRDefault="00D71414" w:rsidP="00490E0E">
            <w:pPr>
              <w:pStyle w:val="NoSpacing"/>
              <w:jc w:val="center"/>
              <w:rPr>
                <w:sz w:val="22"/>
                <w:lang w:val="en-GB"/>
              </w:rPr>
            </w:pPr>
            <w:r w:rsidRPr="003E3DFC">
              <w:rPr>
                <w:sz w:val="22"/>
                <w:lang w:val="en-GB"/>
              </w:rPr>
              <w:t>23.6</w:t>
            </w:r>
          </w:p>
        </w:tc>
        <w:tc>
          <w:tcPr>
            <w:tcW w:w="465" w:type="pct"/>
            <w:shd w:val="clear" w:color="auto" w:fill="auto"/>
            <w:vAlign w:val="center"/>
            <w:hideMark/>
          </w:tcPr>
          <w:p w14:paraId="47462BE5" w14:textId="77777777" w:rsidR="00D71414" w:rsidRPr="003E3DFC" w:rsidRDefault="00D71414" w:rsidP="00490E0E">
            <w:pPr>
              <w:pStyle w:val="NoSpacing"/>
              <w:jc w:val="center"/>
              <w:rPr>
                <w:sz w:val="22"/>
                <w:lang w:val="en-GB"/>
              </w:rPr>
            </w:pPr>
            <w:r w:rsidRPr="003E3DFC">
              <w:rPr>
                <w:sz w:val="22"/>
                <w:lang w:val="en-GB"/>
              </w:rPr>
              <w:t>62.6</w:t>
            </w:r>
          </w:p>
        </w:tc>
        <w:tc>
          <w:tcPr>
            <w:tcW w:w="465" w:type="pct"/>
            <w:shd w:val="clear" w:color="auto" w:fill="auto"/>
            <w:vAlign w:val="center"/>
            <w:hideMark/>
          </w:tcPr>
          <w:p w14:paraId="6A0EC29C" w14:textId="77777777" w:rsidR="00D71414" w:rsidRPr="003E3DFC" w:rsidRDefault="00D71414" w:rsidP="00490E0E">
            <w:pPr>
              <w:pStyle w:val="NoSpacing"/>
              <w:jc w:val="center"/>
              <w:rPr>
                <w:sz w:val="22"/>
                <w:lang w:val="en-GB"/>
              </w:rPr>
            </w:pPr>
            <w:r w:rsidRPr="003E3DFC">
              <w:rPr>
                <w:sz w:val="22"/>
                <w:lang w:val="en-GB"/>
              </w:rPr>
              <w:t>79.7</w:t>
            </w:r>
          </w:p>
        </w:tc>
        <w:tc>
          <w:tcPr>
            <w:tcW w:w="465" w:type="pct"/>
            <w:shd w:val="clear" w:color="auto" w:fill="auto"/>
            <w:vAlign w:val="center"/>
            <w:hideMark/>
          </w:tcPr>
          <w:p w14:paraId="534CD361" w14:textId="77777777" w:rsidR="00D71414" w:rsidRPr="003E3DFC" w:rsidRDefault="00D71414" w:rsidP="00490E0E">
            <w:pPr>
              <w:pStyle w:val="NoSpacing"/>
              <w:jc w:val="center"/>
              <w:rPr>
                <w:sz w:val="22"/>
                <w:lang w:val="en-GB"/>
              </w:rPr>
            </w:pPr>
            <w:r w:rsidRPr="003E3DFC">
              <w:rPr>
                <w:sz w:val="22"/>
                <w:lang w:val="en-GB"/>
              </w:rPr>
              <w:t>23.7</w:t>
            </w:r>
          </w:p>
        </w:tc>
        <w:tc>
          <w:tcPr>
            <w:tcW w:w="465" w:type="pct"/>
            <w:shd w:val="clear" w:color="auto" w:fill="auto"/>
            <w:vAlign w:val="center"/>
            <w:hideMark/>
          </w:tcPr>
          <w:p w14:paraId="455621FB" w14:textId="77777777" w:rsidR="00D71414" w:rsidRPr="003E3DFC" w:rsidRDefault="00D71414" w:rsidP="00490E0E">
            <w:pPr>
              <w:pStyle w:val="NoSpacing"/>
              <w:jc w:val="center"/>
              <w:rPr>
                <w:sz w:val="22"/>
                <w:lang w:val="en-GB"/>
              </w:rPr>
            </w:pPr>
            <w:r w:rsidRPr="003E3DFC">
              <w:rPr>
                <w:sz w:val="22"/>
                <w:lang w:val="en-GB"/>
              </w:rPr>
              <w:t>59.2</w:t>
            </w:r>
          </w:p>
        </w:tc>
        <w:tc>
          <w:tcPr>
            <w:tcW w:w="465" w:type="pct"/>
            <w:shd w:val="clear" w:color="auto" w:fill="auto"/>
            <w:vAlign w:val="center"/>
            <w:hideMark/>
          </w:tcPr>
          <w:p w14:paraId="146269AF" w14:textId="77777777" w:rsidR="00D71414" w:rsidRPr="003E3DFC" w:rsidRDefault="00D71414" w:rsidP="00490E0E">
            <w:pPr>
              <w:pStyle w:val="NoSpacing"/>
              <w:jc w:val="center"/>
              <w:rPr>
                <w:sz w:val="22"/>
                <w:lang w:val="en-GB"/>
              </w:rPr>
            </w:pPr>
            <w:r w:rsidRPr="003E3DFC">
              <w:rPr>
                <w:sz w:val="22"/>
                <w:lang w:val="en-GB"/>
              </w:rPr>
              <w:t>79.1</w:t>
            </w:r>
          </w:p>
        </w:tc>
        <w:tc>
          <w:tcPr>
            <w:tcW w:w="465" w:type="pct"/>
            <w:shd w:val="clear" w:color="auto" w:fill="auto"/>
            <w:vAlign w:val="center"/>
            <w:hideMark/>
          </w:tcPr>
          <w:p w14:paraId="1E7D2DB3" w14:textId="77777777" w:rsidR="00D71414" w:rsidRPr="003E3DFC" w:rsidRDefault="00D71414" w:rsidP="00490E0E">
            <w:pPr>
              <w:pStyle w:val="NoSpacing"/>
              <w:jc w:val="center"/>
              <w:rPr>
                <w:sz w:val="22"/>
                <w:lang w:val="en-GB"/>
              </w:rPr>
            </w:pPr>
            <w:r w:rsidRPr="003E3DFC">
              <w:rPr>
                <w:sz w:val="22"/>
                <w:lang w:val="en-GB"/>
              </w:rPr>
              <w:t>0.1</w:t>
            </w:r>
          </w:p>
        </w:tc>
        <w:tc>
          <w:tcPr>
            <w:tcW w:w="465" w:type="pct"/>
            <w:shd w:val="clear" w:color="auto" w:fill="auto"/>
            <w:vAlign w:val="center"/>
            <w:hideMark/>
          </w:tcPr>
          <w:p w14:paraId="434EFEAC" w14:textId="77777777" w:rsidR="00D71414" w:rsidRPr="003E3DFC" w:rsidRDefault="00D71414" w:rsidP="00490E0E">
            <w:pPr>
              <w:pStyle w:val="NoSpacing"/>
              <w:jc w:val="center"/>
              <w:rPr>
                <w:sz w:val="22"/>
                <w:lang w:val="en-GB"/>
              </w:rPr>
            </w:pPr>
            <w:r w:rsidRPr="003E3DFC">
              <w:rPr>
                <w:sz w:val="22"/>
                <w:lang w:val="en-GB"/>
              </w:rPr>
              <w:t>-3.4</w:t>
            </w:r>
          </w:p>
        </w:tc>
        <w:tc>
          <w:tcPr>
            <w:tcW w:w="464" w:type="pct"/>
            <w:shd w:val="clear" w:color="auto" w:fill="auto"/>
            <w:vAlign w:val="center"/>
            <w:hideMark/>
          </w:tcPr>
          <w:p w14:paraId="488CF3BC" w14:textId="77777777" w:rsidR="00D71414" w:rsidRPr="003E3DFC" w:rsidRDefault="00D71414" w:rsidP="00490E0E">
            <w:pPr>
              <w:pStyle w:val="NoSpacing"/>
              <w:jc w:val="center"/>
              <w:rPr>
                <w:sz w:val="22"/>
                <w:lang w:val="en-GB"/>
              </w:rPr>
            </w:pPr>
            <w:r w:rsidRPr="003E3DFC">
              <w:rPr>
                <w:sz w:val="22"/>
                <w:lang w:val="en-GB"/>
              </w:rPr>
              <w:t>-0.6</w:t>
            </w:r>
          </w:p>
        </w:tc>
      </w:tr>
      <w:tr w:rsidR="00D71414" w:rsidRPr="003E3DFC" w14:paraId="7917CD44" w14:textId="77777777" w:rsidTr="00490E0E">
        <w:trPr>
          <w:trHeight w:val="285"/>
        </w:trPr>
        <w:tc>
          <w:tcPr>
            <w:tcW w:w="816" w:type="pct"/>
            <w:shd w:val="clear" w:color="auto" w:fill="auto"/>
            <w:vAlign w:val="center"/>
            <w:hideMark/>
          </w:tcPr>
          <w:p w14:paraId="64A9B578" w14:textId="77777777" w:rsidR="00D71414" w:rsidRPr="003E3DFC" w:rsidRDefault="00D71414" w:rsidP="00B80334">
            <w:pPr>
              <w:pStyle w:val="NoSpacing"/>
              <w:jc w:val="left"/>
              <w:rPr>
                <w:b/>
                <w:sz w:val="22"/>
                <w:lang w:val="en-GB"/>
              </w:rPr>
            </w:pPr>
            <w:r w:rsidRPr="003E3DFC">
              <w:rPr>
                <w:b/>
                <w:sz w:val="22"/>
                <w:lang w:val="en-GB"/>
              </w:rPr>
              <w:t>Greece</w:t>
            </w:r>
          </w:p>
        </w:tc>
        <w:tc>
          <w:tcPr>
            <w:tcW w:w="465" w:type="pct"/>
            <w:shd w:val="clear" w:color="auto" w:fill="auto"/>
            <w:vAlign w:val="center"/>
            <w:hideMark/>
          </w:tcPr>
          <w:p w14:paraId="5DA3A784" w14:textId="77777777" w:rsidR="00D71414" w:rsidRPr="003E3DFC" w:rsidRDefault="00D71414" w:rsidP="00490E0E">
            <w:pPr>
              <w:pStyle w:val="NoSpacing"/>
              <w:jc w:val="center"/>
              <w:rPr>
                <w:sz w:val="22"/>
                <w:lang w:val="en-GB"/>
              </w:rPr>
            </w:pPr>
            <w:r w:rsidRPr="003E3DFC">
              <w:rPr>
                <w:sz w:val="22"/>
                <w:lang w:val="en-GB"/>
              </w:rPr>
              <w:t>33.2</w:t>
            </w:r>
          </w:p>
        </w:tc>
        <w:tc>
          <w:tcPr>
            <w:tcW w:w="465" w:type="pct"/>
            <w:shd w:val="clear" w:color="auto" w:fill="auto"/>
            <w:vAlign w:val="center"/>
            <w:hideMark/>
          </w:tcPr>
          <w:p w14:paraId="6A5E5482" w14:textId="77777777" w:rsidR="00D71414" w:rsidRPr="003E3DFC" w:rsidRDefault="00D71414" w:rsidP="00490E0E">
            <w:pPr>
              <w:pStyle w:val="NoSpacing"/>
              <w:jc w:val="center"/>
              <w:rPr>
                <w:sz w:val="22"/>
                <w:lang w:val="en-GB"/>
              </w:rPr>
            </w:pPr>
            <w:r w:rsidRPr="003E3DFC">
              <w:rPr>
                <w:sz w:val="22"/>
                <w:lang w:val="en-GB"/>
              </w:rPr>
              <w:t>47.9</w:t>
            </w:r>
          </w:p>
        </w:tc>
        <w:tc>
          <w:tcPr>
            <w:tcW w:w="465" w:type="pct"/>
            <w:shd w:val="clear" w:color="auto" w:fill="auto"/>
            <w:vAlign w:val="center"/>
            <w:hideMark/>
          </w:tcPr>
          <w:p w14:paraId="3FDCEC19" w14:textId="77777777" w:rsidR="00D71414" w:rsidRPr="003E3DFC" w:rsidRDefault="00D71414" w:rsidP="00490E0E">
            <w:pPr>
              <w:pStyle w:val="NoSpacing"/>
              <w:jc w:val="center"/>
              <w:rPr>
                <w:sz w:val="22"/>
                <w:lang w:val="en-GB"/>
              </w:rPr>
            </w:pPr>
            <w:r w:rsidRPr="003E3DFC">
              <w:rPr>
                <w:sz w:val="22"/>
                <w:lang w:val="en-GB"/>
              </w:rPr>
              <w:t>76.7</w:t>
            </w:r>
          </w:p>
        </w:tc>
        <w:tc>
          <w:tcPr>
            <w:tcW w:w="465" w:type="pct"/>
            <w:shd w:val="clear" w:color="auto" w:fill="auto"/>
            <w:vAlign w:val="center"/>
            <w:hideMark/>
          </w:tcPr>
          <w:p w14:paraId="195A5200" w14:textId="77777777" w:rsidR="00D71414" w:rsidRPr="003E3DFC" w:rsidRDefault="00D71414" w:rsidP="00490E0E">
            <w:pPr>
              <w:pStyle w:val="NoSpacing"/>
              <w:jc w:val="center"/>
              <w:rPr>
                <w:sz w:val="22"/>
                <w:lang w:val="en-GB"/>
              </w:rPr>
            </w:pPr>
            <w:r w:rsidRPr="003E3DFC">
              <w:rPr>
                <w:sz w:val="22"/>
                <w:lang w:val="en-GB"/>
              </w:rPr>
              <w:t>27.7</w:t>
            </w:r>
          </w:p>
        </w:tc>
        <w:tc>
          <w:tcPr>
            <w:tcW w:w="465" w:type="pct"/>
            <w:shd w:val="clear" w:color="auto" w:fill="auto"/>
            <w:vAlign w:val="center"/>
            <w:hideMark/>
          </w:tcPr>
          <w:p w14:paraId="39089873" w14:textId="77777777" w:rsidR="00D71414" w:rsidRPr="003E3DFC" w:rsidRDefault="00D71414" w:rsidP="00490E0E">
            <w:pPr>
              <w:pStyle w:val="NoSpacing"/>
              <w:jc w:val="center"/>
              <w:rPr>
                <w:sz w:val="22"/>
                <w:lang w:val="en-GB"/>
              </w:rPr>
            </w:pPr>
            <w:r w:rsidRPr="003E3DFC">
              <w:rPr>
                <w:sz w:val="22"/>
                <w:lang w:val="en-GB"/>
              </w:rPr>
              <w:t>36.4</w:t>
            </w:r>
          </w:p>
        </w:tc>
        <w:tc>
          <w:tcPr>
            <w:tcW w:w="465" w:type="pct"/>
            <w:shd w:val="clear" w:color="auto" w:fill="auto"/>
            <w:vAlign w:val="center"/>
            <w:hideMark/>
          </w:tcPr>
          <w:p w14:paraId="19CD5470" w14:textId="77777777" w:rsidR="00D71414" w:rsidRPr="003E3DFC" w:rsidRDefault="00D71414" w:rsidP="00490E0E">
            <w:pPr>
              <w:pStyle w:val="NoSpacing"/>
              <w:jc w:val="center"/>
              <w:rPr>
                <w:sz w:val="22"/>
                <w:lang w:val="en-GB"/>
              </w:rPr>
            </w:pPr>
            <w:r w:rsidRPr="003E3DFC">
              <w:rPr>
                <w:sz w:val="22"/>
                <w:lang w:val="en-GB"/>
              </w:rPr>
              <w:t>62.6</w:t>
            </w:r>
          </w:p>
        </w:tc>
        <w:tc>
          <w:tcPr>
            <w:tcW w:w="465" w:type="pct"/>
            <w:shd w:val="clear" w:color="auto" w:fill="auto"/>
            <w:vAlign w:val="center"/>
            <w:hideMark/>
          </w:tcPr>
          <w:p w14:paraId="752D0C4C" w14:textId="77777777" w:rsidR="00D71414" w:rsidRPr="003E3DFC" w:rsidRDefault="00D71414" w:rsidP="00490E0E">
            <w:pPr>
              <w:pStyle w:val="NoSpacing"/>
              <w:jc w:val="center"/>
              <w:rPr>
                <w:sz w:val="22"/>
                <w:lang w:val="en-GB"/>
              </w:rPr>
            </w:pPr>
            <w:r w:rsidRPr="003E3DFC">
              <w:rPr>
                <w:sz w:val="22"/>
                <w:lang w:val="en-GB"/>
              </w:rPr>
              <w:t>-5.5</w:t>
            </w:r>
          </w:p>
        </w:tc>
        <w:tc>
          <w:tcPr>
            <w:tcW w:w="465" w:type="pct"/>
            <w:shd w:val="clear" w:color="auto" w:fill="auto"/>
            <w:vAlign w:val="center"/>
            <w:hideMark/>
          </w:tcPr>
          <w:p w14:paraId="5C3DC7FA" w14:textId="77777777" w:rsidR="00D71414" w:rsidRPr="003E3DFC" w:rsidRDefault="00D71414" w:rsidP="00490E0E">
            <w:pPr>
              <w:pStyle w:val="NoSpacing"/>
              <w:jc w:val="center"/>
              <w:rPr>
                <w:sz w:val="22"/>
                <w:lang w:val="en-GB"/>
              </w:rPr>
            </w:pPr>
            <w:r w:rsidRPr="003E3DFC">
              <w:rPr>
                <w:sz w:val="22"/>
                <w:lang w:val="en-GB"/>
              </w:rPr>
              <w:t>-11.5</w:t>
            </w:r>
          </w:p>
        </w:tc>
        <w:tc>
          <w:tcPr>
            <w:tcW w:w="464" w:type="pct"/>
            <w:shd w:val="clear" w:color="auto" w:fill="auto"/>
            <w:vAlign w:val="center"/>
            <w:hideMark/>
          </w:tcPr>
          <w:p w14:paraId="492DB223" w14:textId="77777777" w:rsidR="00D71414" w:rsidRPr="003E3DFC" w:rsidRDefault="00D71414" w:rsidP="00490E0E">
            <w:pPr>
              <w:pStyle w:val="NoSpacing"/>
              <w:jc w:val="center"/>
              <w:rPr>
                <w:sz w:val="22"/>
                <w:lang w:val="en-GB"/>
              </w:rPr>
            </w:pPr>
            <w:r w:rsidRPr="003E3DFC">
              <w:rPr>
                <w:sz w:val="22"/>
                <w:lang w:val="en-GB"/>
              </w:rPr>
              <w:t>-14.1</w:t>
            </w:r>
          </w:p>
        </w:tc>
      </w:tr>
      <w:tr w:rsidR="00D71414" w:rsidRPr="003E3DFC" w14:paraId="258D94B9" w14:textId="77777777" w:rsidTr="00490E0E">
        <w:trPr>
          <w:trHeight w:val="285"/>
        </w:trPr>
        <w:tc>
          <w:tcPr>
            <w:tcW w:w="816" w:type="pct"/>
            <w:shd w:val="clear" w:color="auto" w:fill="auto"/>
            <w:vAlign w:val="center"/>
            <w:hideMark/>
          </w:tcPr>
          <w:p w14:paraId="212AA0C4" w14:textId="77777777" w:rsidR="00D71414" w:rsidRPr="003E3DFC" w:rsidRDefault="00D71414" w:rsidP="00B80334">
            <w:pPr>
              <w:pStyle w:val="NoSpacing"/>
              <w:jc w:val="left"/>
              <w:rPr>
                <w:b/>
                <w:sz w:val="22"/>
                <w:lang w:val="en-GB"/>
              </w:rPr>
            </w:pPr>
            <w:r w:rsidRPr="003E3DFC">
              <w:rPr>
                <w:b/>
                <w:sz w:val="22"/>
                <w:lang w:val="en-GB"/>
              </w:rPr>
              <w:t>Croatia</w:t>
            </w:r>
          </w:p>
        </w:tc>
        <w:tc>
          <w:tcPr>
            <w:tcW w:w="465" w:type="pct"/>
            <w:shd w:val="clear" w:color="auto" w:fill="auto"/>
            <w:vAlign w:val="center"/>
            <w:hideMark/>
          </w:tcPr>
          <w:p w14:paraId="7B664ACD" w14:textId="77777777" w:rsidR="00D71414" w:rsidRPr="003E3DFC" w:rsidRDefault="00D71414" w:rsidP="00490E0E">
            <w:pPr>
              <w:pStyle w:val="NoSpacing"/>
              <w:jc w:val="center"/>
              <w:rPr>
                <w:sz w:val="22"/>
                <w:lang w:val="en-GB"/>
              </w:rPr>
            </w:pPr>
            <w:r w:rsidRPr="003E3DFC">
              <w:rPr>
                <w:sz w:val="22"/>
                <w:lang w:val="en-GB"/>
              </w:rPr>
              <w:t>27.9</w:t>
            </w:r>
          </w:p>
        </w:tc>
        <w:tc>
          <w:tcPr>
            <w:tcW w:w="465" w:type="pct"/>
            <w:shd w:val="clear" w:color="auto" w:fill="auto"/>
            <w:vAlign w:val="center"/>
            <w:hideMark/>
          </w:tcPr>
          <w:p w14:paraId="1E50A53E" w14:textId="77777777" w:rsidR="00D71414" w:rsidRPr="003E3DFC" w:rsidRDefault="00D71414" w:rsidP="00490E0E">
            <w:pPr>
              <w:pStyle w:val="NoSpacing"/>
              <w:jc w:val="center"/>
              <w:rPr>
                <w:sz w:val="22"/>
                <w:lang w:val="en-GB"/>
              </w:rPr>
            </w:pPr>
            <w:r w:rsidRPr="003E3DFC">
              <w:rPr>
                <w:sz w:val="22"/>
                <w:lang w:val="en-GB"/>
              </w:rPr>
              <w:t>54.4</w:t>
            </w:r>
          </w:p>
        </w:tc>
        <w:tc>
          <w:tcPr>
            <w:tcW w:w="465" w:type="pct"/>
            <w:shd w:val="clear" w:color="auto" w:fill="auto"/>
            <w:vAlign w:val="center"/>
            <w:hideMark/>
          </w:tcPr>
          <w:p w14:paraId="16DFFE4A" w14:textId="77777777" w:rsidR="00D71414" w:rsidRPr="003E3DFC" w:rsidRDefault="00D71414" w:rsidP="00490E0E">
            <w:pPr>
              <w:pStyle w:val="NoSpacing"/>
              <w:jc w:val="center"/>
              <w:rPr>
                <w:sz w:val="22"/>
                <w:lang w:val="en-GB"/>
              </w:rPr>
            </w:pPr>
            <w:r w:rsidRPr="003E3DFC">
              <w:rPr>
                <w:sz w:val="22"/>
                <w:lang w:val="en-GB"/>
              </w:rPr>
              <w:t>79.6</w:t>
            </w:r>
          </w:p>
        </w:tc>
        <w:tc>
          <w:tcPr>
            <w:tcW w:w="465" w:type="pct"/>
            <w:shd w:val="clear" w:color="auto" w:fill="auto"/>
            <w:vAlign w:val="center"/>
            <w:hideMark/>
          </w:tcPr>
          <w:p w14:paraId="2A2B0A4B" w14:textId="77777777" w:rsidR="00D71414" w:rsidRPr="003E3DFC" w:rsidRDefault="00D71414" w:rsidP="00490E0E">
            <w:pPr>
              <w:pStyle w:val="NoSpacing"/>
              <w:jc w:val="center"/>
              <w:rPr>
                <w:sz w:val="22"/>
                <w:lang w:val="en-GB"/>
              </w:rPr>
            </w:pPr>
            <w:r w:rsidRPr="003E3DFC">
              <w:rPr>
                <w:sz w:val="22"/>
                <w:lang w:val="en-GB"/>
              </w:rPr>
              <w:t>23.7</w:t>
            </w:r>
          </w:p>
        </w:tc>
        <w:tc>
          <w:tcPr>
            <w:tcW w:w="465" w:type="pct"/>
            <w:shd w:val="clear" w:color="auto" w:fill="auto"/>
            <w:vAlign w:val="center"/>
            <w:hideMark/>
          </w:tcPr>
          <w:p w14:paraId="50369592" w14:textId="77777777" w:rsidR="00D71414" w:rsidRPr="003E3DFC" w:rsidRDefault="00D71414" w:rsidP="00490E0E">
            <w:pPr>
              <w:pStyle w:val="NoSpacing"/>
              <w:jc w:val="center"/>
              <w:rPr>
                <w:sz w:val="22"/>
                <w:lang w:val="en-GB"/>
              </w:rPr>
            </w:pPr>
            <w:r w:rsidRPr="003E3DFC">
              <w:rPr>
                <w:sz w:val="22"/>
                <w:lang w:val="en-GB"/>
              </w:rPr>
              <w:t>50.9</w:t>
            </w:r>
          </w:p>
        </w:tc>
        <w:tc>
          <w:tcPr>
            <w:tcW w:w="465" w:type="pct"/>
            <w:shd w:val="clear" w:color="auto" w:fill="auto"/>
            <w:vAlign w:val="center"/>
            <w:hideMark/>
          </w:tcPr>
          <w:p w14:paraId="5914CFF7" w14:textId="77777777" w:rsidR="00D71414" w:rsidRPr="003E3DFC" w:rsidRDefault="00D71414" w:rsidP="00490E0E">
            <w:pPr>
              <w:pStyle w:val="NoSpacing"/>
              <w:jc w:val="center"/>
              <w:rPr>
                <w:sz w:val="22"/>
                <w:lang w:val="en-GB"/>
              </w:rPr>
            </w:pPr>
            <w:r w:rsidRPr="003E3DFC">
              <w:rPr>
                <w:sz w:val="22"/>
                <w:lang w:val="en-GB"/>
              </w:rPr>
              <w:t>75.1</w:t>
            </w:r>
          </w:p>
        </w:tc>
        <w:tc>
          <w:tcPr>
            <w:tcW w:w="465" w:type="pct"/>
            <w:shd w:val="clear" w:color="auto" w:fill="auto"/>
            <w:vAlign w:val="center"/>
            <w:hideMark/>
          </w:tcPr>
          <w:p w14:paraId="0E7B0CFA" w14:textId="77777777" w:rsidR="00D71414" w:rsidRPr="003E3DFC" w:rsidRDefault="00D71414" w:rsidP="00490E0E">
            <w:pPr>
              <w:pStyle w:val="NoSpacing"/>
              <w:jc w:val="center"/>
              <w:rPr>
                <w:sz w:val="22"/>
                <w:lang w:val="en-GB"/>
              </w:rPr>
            </w:pPr>
            <w:r w:rsidRPr="003E3DFC">
              <w:rPr>
                <w:sz w:val="22"/>
                <w:lang w:val="en-GB"/>
              </w:rPr>
              <w:t>-4.2</w:t>
            </w:r>
          </w:p>
        </w:tc>
        <w:tc>
          <w:tcPr>
            <w:tcW w:w="465" w:type="pct"/>
            <w:shd w:val="clear" w:color="auto" w:fill="auto"/>
            <w:vAlign w:val="center"/>
            <w:hideMark/>
          </w:tcPr>
          <w:p w14:paraId="21AD88EC" w14:textId="77777777" w:rsidR="00D71414" w:rsidRPr="003E3DFC" w:rsidRDefault="00D71414" w:rsidP="00490E0E">
            <w:pPr>
              <w:pStyle w:val="NoSpacing"/>
              <w:jc w:val="center"/>
              <w:rPr>
                <w:sz w:val="22"/>
                <w:lang w:val="en-GB"/>
              </w:rPr>
            </w:pPr>
            <w:r w:rsidRPr="003E3DFC">
              <w:rPr>
                <w:sz w:val="22"/>
                <w:lang w:val="en-GB"/>
              </w:rPr>
              <w:t>-3.5</w:t>
            </w:r>
          </w:p>
        </w:tc>
        <w:tc>
          <w:tcPr>
            <w:tcW w:w="464" w:type="pct"/>
            <w:shd w:val="clear" w:color="auto" w:fill="auto"/>
            <w:vAlign w:val="center"/>
            <w:hideMark/>
          </w:tcPr>
          <w:p w14:paraId="196A7EC2" w14:textId="77777777" w:rsidR="00D71414" w:rsidRPr="003E3DFC" w:rsidRDefault="00D71414" w:rsidP="00490E0E">
            <w:pPr>
              <w:pStyle w:val="NoSpacing"/>
              <w:jc w:val="center"/>
              <w:rPr>
                <w:sz w:val="22"/>
                <w:lang w:val="en-GB"/>
              </w:rPr>
            </w:pPr>
            <w:r w:rsidRPr="003E3DFC">
              <w:rPr>
                <w:sz w:val="22"/>
                <w:lang w:val="en-GB"/>
              </w:rPr>
              <w:t>-4.5</w:t>
            </w:r>
          </w:p>
        </w:tc>
      </w:tr>
      <w:tr w:rsidR="00D71414" w:rsidRPr="003E3DFC" w14:paraId="0E7F53BD" w14:textId="77777777" w:rsidTr="00490E0E">
        <w:trPr>
          <w:trHeight w:val="285"/>
        </w:trPr>
        <w:tc>
          <w:tcPr>
            <w:tcW w:w="816" w:type="pct"/>
            <w:shd w:val="clear" w:color="auto" w:fill="auto"/>
            <w:vAlign w:val="center"/>
            <w:hideMark/>
          </w:tcPr>
          <w:p w14:paraId="438F322E" w14:textId="77777777" w:rsidR="00D71414" w:rsidRPr="003E3DFC" w:rsidRDefault="00D71414" w:rsidP="00B80334">
            <w:pPr>
              <w:pStyle w:val="NoSpacing"/>
              <w:jc w:val="left"/>
              <w:rPr>
                <w:b/>
                <w:sz w:val="22"/>
                <w:lang w:val="en-GB"/>
              </w:rPr>
            </w:pPr>
            <w:r w:rsidRPr="003E3DFC">
              <w:rPr>
                <w:b/>
                <w:sz w:val="22"/>
                <w:lang w:val="en-GB"/>
              </w:rPr>
              <w:t>Slovenia</w:t>
            </w:r>
          </w:p>
        </w:tc>
        <w:tc>
          <w:tcPr>
            <w:tcW w:w="465" w:type="pct"/>
            <w:shd w:val="clear" w:color="auto" w:fill="auto"/>
            <w:vAlign w:val="center"/>
            <w:hideMark/>
          </w:tcPr>
          <w:p w14:paraId="6784F8A8" w14:textId="77777777" w:rsidR="00D71414" w:rsidRPr="003E3DFC" w:rsidRDefault="00D71414" w:rsidP="00490E0E">
            <w:pPr>
              <w:pStyle w:val="NoSpacing"/>
              <w:jc w:val="center"/>
              <w:rPr>
                <w:sz w:val="22"/>
                <w:lang w:val="en-GB"/>
              </w:rPr>
            </w:pPr>
            <w:r w:rsidRPr="003E3DFC">
              <w:rPr>
                <w:sz w:val="22"/>
                <w:lang w:val="en-GB"/>
              </w:rPr>
              <w:t>37.5</w:t>
            </w:r>
          </w:p>
        </w:tc>
        <w:tc>
          <w:tcPr>
            <w:tcW w:w="465" w:type="pct"/>
            <w:shd w:val="clear" w:color="auto" w:fill="auto"/>
            <w:vAlign w:val="center"/>
            <w:hideMark/>
          </w:tcPr>
          <w:p w14:paraId="73443F16" w14:textId="77777777" w:rsidR="00D71414" w:rsidRPr="003E3DFC" w:rsidRDefault="00D71414" w:rsidP="00490E0E">
            <w:pPr>
              <w:pStyle w:val="NoSpacing"/>
              <w:jc w:val="center"/>
              <w:rPr>
                <w:sz w:val="22"/>
                <w:lang w:val="en-GB"/>
              </w:rPr>
            </w:pPr>
            <w:r w:rsidRPr="003E3DFC">
              <w:rPr>
                <w:sz w:val="22"/>
                <w:lang w:val="en-GB"/>
              </w:rPr>
              <w:t>63.5</w:t>
            </w:r>
          </w:p>
        </w:tc>
        <w:tc>
          <w:tcPr>
            <w:tcW w:w="465" w:type="pct"/>
            <w:shd w:val="clear" w:color="auto" w:fill="auto"/>
            <w:vAlign w:val="center"/>
            <w:hideMark/>
          </w:tcPr>
          <w:p w14:paraId="1C352B13" w14:textId="77777777" w:rsidR="00D71414" w:rsidRPr="003E3DFC" w:rsidRDefault="00D71414" w:rsidP="00490E0E">
            <w:pPr>
              <w:pStyle w:val="NoSpacing"/>
              <w:jc w:val="center"/>
              <w:rPr>
                <w:sz w:val="22"/>
                <w:lang w:val="en-GB"/>
              </w:rPr>
            </w:pPr>
            <w:r w:rsidRPr="003E3DFC">
              <w:rPr>
                <w:sz w:val="22"/>
                <w:lang w:val="en-GB"/>
              </w:rPr>
              <w:t>86.6</w:t>
            </w:r>
          </w:p>
        </w:tc>
        <w:tc>
          <w:tcPr>
            <w:tcW w:w="465" w:type="pct"/>
            <w:shd w:val="clear" w:color="auto" w:fill="auto"/>
            <w:vAlign w:val="center"/>
            <w:hideMark/>
          </w:tcPr>
          <w:p w14:paraId="3EC249F3" w14:textId="77777777" w:rsidR="00D71414" w:rsidRPr="003E3DFC" w:rsidRDefault="00D71414" w:rsidP="00490E0E">
            <w:pPr>
              <w:pStyle w:val="NoSpacing"/>
              <w:jc w:val="center"/>
              <w:rPr>
                <w:sz w:val="22"/>
                <w:lang w:val="en-GB"/>
              </w:rPr>
            </w:pPr>
            <w:r w:rsidRPr="003E3DFC">
              <w:rPr>
                <w:sz w:val="22"/>
                <w:lang w:val="en-GB"/>
              </w:rPr>
              <w:t>27.2</w:t>
            </w:r>
          </w:p>
        </w:tc>
        <w:tc>
          <w:tcPr>
            <w:tcW w:w="465" w:type="pct"/>
            <w:shd w:val="clear" w:color="auto" w:fill="auto"/>
            <w:vAlign w:val="center"/>
            <w:hideMark/>
          </w:tcPr>
          <w:p w14:paraId="3E9BC525" w14:textId="77777777" w:rsidR="00D71414" w:rsidRPr="003E3DFC" w:rsidRDefault="00D71414" w:rsidP="00490E0E">
            <w:pPr>
              <w:pStyle w:val="NoSpacing"/>
              <w:jc w:val="center"/>
              <w:rPr>
                <w:sz w:val="22"/>
                <w:lang w:val="en-GB"/>
              </w:rPr>
            </w:pPr>
            <w:r w:rsidRPr="003E3DFC">
              <w:rPr>
                <w:sz w:val="22"/>
                <w:lang w:val="en-GB"/>
              </w:rPr>
              <w:t>58.8</w:t>
            </w:r>
          </w:p>
        </w:tc>
        <w:tc>
          <w:tcPr>
            <w:tcW w:w="465" w:type="pct"/>
            <w:shd w:val="clear" w:color="auto" w:fill="auto"/>
            <w:vAlign w:val="center"/>
            <w:hideMark/>
          </w:tcPr>
          <w:p w14:paraId="78E6FC6C" w14:textId="77777777" w:rsidR="00D71414" w:rsidRPr="003E3DFC" w:rsidRDefault="00D71414" w:rsidP="00490E0E">
            <w:pPr>
              <w:pStyle w:val="NoSpacing"/>
              <w:jc w:val="center"/>
              <w:rPr>
                <w:sz w:val="22"/>
                <w:lang w:val="en-GB"/>
              </w:rPr>
            </w:pPr>
            <w:r w:rsidRPr="003E3DFC">
              <w:rPr>
                <w:sz w:val="22"/>
                <w:lang w:val="en-GB"/>
              </w:rPr>
              <w:t>80.8</w:t>
            </w:r>
          </w:p>
        </w:tc>
        <w:tc>
          <w:tcPr>
            <w:tcW w:w="465" w:type="pct"/>
            <w:shd w:val="clear" w:color="auto" w:fill="auto"/>
            <w:vAlign w:val="center"/>
            <w:hideMark/>
          </w:tcPr>
          <w:p w14:paraId="506EAF39" w14:textId="77777777" w:rsidR="00D71414" w:rsidRPr="003E3DFC" w:rsidRDefault="00D71414" w:rsidP="00490E0E">
            <w:pPr>
              <w:pStyle w:val="NoSpacing"/>
              <w:jc w:val="center"/>
              <w:rPr>
                <w:sz w:val="22"/>
                <w:lang w:val="en-GB"/>
              </w:rPr>
            </w:pPr>
            <w:r w:rsidRPr="003E3DFC">
              <w:rPr>
                <w:sz w:val="22"/>
                <w:lang w:val="en-GB"/>
              </w:rPr>
              <w:t>-10.3</w:t>
            </w:r>
          </w:p>
        </w:tc>
        <w:tc>
          <w:tcPr>
            <w:tcW w:w="465" w:type="pct"/>
            <w:shd w:val="clear" w:color="auto" w:fill="auto"/>
            <w:vAlign w:val="center"/>
            <w:hideMark/>
          </w:tcPr>
          <w:p w14:paraId="4144FE71" w14:textId="77777777" w:rsidR="00D71414" w:rsidRPr="003E3DFC" w:rsidRDefault="00D71414" w:rsidP="00490E0E">
            <w:pPr>
              <w:pStyle w:val="NoSpacing"/>
              <w:jc w:val="center"/>
              <w:rPr>
                <w:sz w:val="22"/>
                <w:lang w:val="en-GB"/>
              </w:rPr>
            </w:pPr>
            <w:r w:rsidRPr="003E3DFC">
              <w:rPr>
                <w:sz w:val="22"/>
                <w:lang w:val="en-GB"/>
              </w:rPr>
              <w:t>-4.7</w:t>
            </w:r>
          </w:p>
        </w:tc>
        <w:tc>
          <w:tcPr>
            <w:tcW w:w="464" w:type="pct"/>
            <w:shd w:val="clear" w:color="auto" w:fill="auto"/>
            <w:vAlign w:val="center"/>
            <w:hideMark/>
          </w:tcPr>
          <w:p w14:paraId="0EE1FBA3" w14:textId="77777777" w:rsidR="00D71414" w:rsidRPr="003E3DFC" w:rsidRDefault="00D71414" w:rsidP="00490E0E">
            <w:pPr>
              <w:pStyle w:val="NoSpacing"/>
              <w:jc w:val="center"/>
              <w:rPr>
                <w:sz w:val="22"/>
                <w:lang w:val="en-GB"/>
              </w:rPr>
            </w:pPr>
            <w:r w:rsidRPr="003E3DFC">
              <w:rPr>
                <w:sz w:val="22"/>
                <w:lang w:val="en-GB"/>
              </w:rPr>
              <w:t>-5.8</w:t>
            </w:r>
          </w:p>
        </w:tc>
      </w:tr>
      <w:tr w:rsidR="00D71414" w:rsidRPr="003E3DFC" w14:paraId="2237B279" w14:textId="77777777" w:rsidTr="00490E0E">
        <w:trPr>
          <w:trHeight w:val="285"/>
        </w:trPr>
        <w:tc>
          <w:tcPr>
            <w:tcW w:w="816" w:type="pct"/>
            <w:shd w:val="clear" w:color="auto" w:fill="auto"/>
            <w:vAlign w:val="center"/>
            <w:hideMark/>
          </w:tcPr>
          <w:p w14:paraId="45BC43FD" w14:textId="77777777" w:rsidR="00D71414" w:rsidRPr="003E3DFC" w:rsidRDefault="00D71414" w:rsidP="00B80334">
            <w:pPr>
              <w:pStyle w:val="NoSpacing"/>
              <w:jc w:val="left"/>
              <w:rPr>
                <w:b/>
                <w:sz w:val="22"/>
                <w:lang w:val="en-GB"/>
              </w:rPr>
            </w:pPr>
            <w:r w:rsidRPr="003E3DFC">
              <w:rPr>
                <w:b/>
                <w:sz w:val="22"/>
                <w:lang w:val="en-GB"/>
              </w:rPr>
              <w:t>Macedonia</w:t>
            </w:r>
          </w:p>
        </w:tc>
        <w:tc>
          <w:tcPr>
            <w:tcW w:w="465" w:type="pct"/>
            <w:shd w:val="clear" w:color="auto" w:fill="auto"/>
            <w:vAlign w:val="center"/>
            <w:hideMark/>
          </w:tcPr>
          <w:p w14:paraId="628921F1" w14:textId="77777777" w:rsidR="00D71414" w:rsidRPr="003E3DFC" w:rsidRDefault="00D71414" w:rsidP="00490E0E">
            <w:pPr>
              <w:pStyle w:val="NoSpacing"/>
              <w:jc w:val="center"/>
              <w:rPr>
                <w:sz w:val="22"/>
                <w:lang w:val="en-GB"/>
              </w:rPr>
            </w:pPr>
            <w:r w:rsidRPr="003E3DFC">
              <w:rPr>
                <w:sz w:val="22"/>
                <w:lang w:val="en-GB"/>
              </w:rPr>
              <w:t>15.2</w:t>
            </w:r>
          </w:p>
        </w:tc>
        <w:tc>
          <w:tcPr>
            <w:tcW w:w="465" w:type="pct"/>
            <w:shd w:val="clear" w:color="auto" w:fill="auto"/>
            <w:vAlign w:val="center"/>
            <w:hideMark/>
          </w:tcPr>
          <w:p w14:paraId="41E7FD02" w14:textId="77777777" w:rsidR="00D71414" w:rsidRPr="003E3DFC" w:rsidRDefault="00D71414" w:rsidP="00490E0E">
            <w:pPr>
              <w:pStyle w:val="NoSpacing"/>
              <w:jc w:val="center"/>
              <w:rPr>
                <w:sz w:val="22"/>
                <w:lang w:val="en-GB"/>
              </w:rPr>
            </w:pPr>
            <w:r w:rsidRPr="003E3DFC">
              <w:rPr>
                <w:sz w:val="22"/>
                <w:lang w:val="en-GB"/>
              </w:rPr>
              <w:t>40.6</w:t>
            </w:r>
          </w:p>
        </w:tc>
        <w:tc>
          <w:tcPr>
            <w:tcW w:w="465" w:type="pct"/>
            <w:shd w:val="clear" w:color="auto" w:fill="auto"/>
            <w:vAlign w:val="center"/>
            <w:hideMark/>
          </w:tcPr>
          <w:p w14:paraId="7BE20320" w14:textId="77777777" w:rsidR="00D71414" w:rsidRPr="003E3DFC" w:rsidRDefault="00D71414" w:rsidP="00490E0E">
            <w:pPr>
              <w:pStyle w:val="NoSpacing"/>
              <w:jc w:val="center"/>
              <w:rPr>
                <w:sz w:val="22"/>
                <w:lang w:val="en-GB"/>
              </w:rPr>
            </w:pPr>
            <w:r w:rsidRPr="003E3DFC">
              <w:rPr>
                <w:sz w:val="22"/>
                <w:lang w:val="en-GB"/>
              </w:rPr>
              <w:t>68.3</w:t>
            </w:r>
          </w:p>
        </w:tc>
        <w:tc>
          <w:tcPr>
            <w:tcW w:w="465" w:type="pct"/>
            <w:shd w:val="clear" w:color="auto" w:fill="auto"/>
            <w:vAlign w:val="center"/>
            <w:hideMark/>
          </w:tcPr>
          <w:p w14:paraId="289ED4D1" w14:textId="77777777" w:rsidR="00D71414" w:rsidRPr="003E3DFC" w:rsidRDefault="00D71414" w:rsidP="00490E0E">
            <w:pPr>
              <w:pStyle w:val="NoSpacing"/>
              <w:jc w:val="center"/>
              <w:rPr>
                <w:sz w:val="22"/>
                <w:lang w:val="en-GB"/>
              </w:rPr>
            </w:pPr>
            <w:r w:rsidRPr="003E3DFC">
              <w:rPr>
                <w:sz w:val="22"/>
                <w:lang w:val="en-GB"/>
              </w:rPr>
              <w:t>18.0</w:t>
            </w:r>
          </w:p>
        </w:tc>
        <w:tc>
          <w:tcPr>
            <w:tcW w:w="465" w:type="pct"/>
            <w:shd w:val="clear" w:color="auto" w:fill="auto"/>
            <w:vAlign w:val="center"/>
            <w:hideMark/>
          </w:tcPr>
          <w:p w14:paraId="705728DE" w14:textId="77777777" w:rsidR="00D71414" w:rsidRPr="003E3DFC" w:rsidRDefault="00D71414" w:rsidP="00490E0E">
            <w:pPr>
              <w:pStyle w:val="NoSpacing"/>
              <w:jc w:val="center"/>
              <w:rPr>
                <w:sz w:val="22"/>
                <w:lang w:val="en-GB"/>
              </w:rPr>
            </w:pPr>
            <w:r w:rsidRPr="003E3DFC">
              <w:rPr>
                <w:sz w:val="22"/>
                <w:lang w:val="en-GB"/>
              </w:rPr>
              <w:t>45.8</w:t>
            </w:r>
          </w:p>
        </w:tc>
        <w:tc>
          <w:tcPr>
            <w:tcW w:w="465" w:type="pct"/>
            <w:shd w:val="clear" w:color="auto" w:fill="auto"/>
            <w:vAlign w:val="center"/>
            <w:hideMark/>
          </w:tcPr>
          <w:p w14:paraId="5AC7CFC6" w14:textId="77777777" w:rsidR="00D71414" w:rsidRPr="003E3DFC" w:rsidRDefault="00D71414" w:rsidP="00490E0E">
            <w:pPr>
              <w:pStyle w:val="NoSpacing"/>
              <w:jc w:val="center"/>
              <w:rPr>
                <w:sz w:val="22"/>
                <w:lang w:val="en-GB"/>
              </w:rPr>
            </w:pPr>
            <w:r w:rsidRPr="003E3DFC">
              <w:rPr>
                <w:sz w:val="22"/>
                <w:lang w:val="en-GB"/>
              </w:rPr>
              <w:t>64.1</w:t>
            </w:r>
          </w:p>
        </w:tc>
        <w:tc>
          <w:tcPr>
            <w:tcW w:w="465" w:type="pct"/>
            <w:shd w:val="clear" w:color="auto" w:fill="auto"/>
            <w:vAlign w:val="center"/>
            <w:hideMark/>
          </w:tcPr>
          <w:p w14:paraId="3E7AB3F9" w14:textId="77777777" w:rsidR="00D71414" w:rsidRPr="003E3DFC" w:rsidRDefault="00D71414" w:rsidP="00490E0E">
            <w:pPr>
              <w:pStyle w:val="NoSpacing"/>
              <w:jc w:val="center"/>
              <w:rPr>
                <w:sz w:val="22"/>
                <w:lang w:val="en-GB"/>
              </w:rPr>
            </w:pPr>
            <w:r w:rsidRPr="003E3DFC">
              <w:rPr>
                <w:sz w:val="22"/>
                <w:lang w:val="en-GB"/>
              </w:rPr>
              <w:t>2.8</w:t>
            </w:r>
          </w:p>
        </w:tc>
        <w:tc>
          <w:tcPr>
            <w:tcW w:w="465" w:type="pct"/>
            <w:shd w:val="clear" w:color="auto" w:fill="auto"/>
            <w:vAlign w:val="center"/>
            <w:hideMark/>
          </w:tcPr>
          <w:p w14:paraId="04573785" w14:textId="77777777" w:rsidR="00D71414" w:rsidRPr="003E3DFC" w:rsidRDefault="00D71414" w:rsidP="00490E0E">
            <w:pPr>
              <w:pStyle w:val="NoSpacing"/>
              <w:jc w:val="center"/>
              <w:rPr>
                <w:sz w:val="22"/>
                <w:lang w:val="en-GB"/>
              </w:rPr>
            </w:pPr>
            <w:r w:rsidRPr="003E3DFC">
              <w:rPr>
                <w:sz w:val="22"/>
                <w:lang w:val="en-GB"/>
              </w:rPr>
              <w:t>5.2</w:t>
            </w:r>
          </w:p>
        </w:tc>
        <w:tc>
          <w:tcPr>
            <w:tcW w:w="464" w:type="pct"/>
            <w:shd w:val="clear" w:color="auto" w:fill="auto"/>
            <w:vAlign w:val="center"/>
            <w:hideMark/>
          </w:tcPr>
          <w:p w14:paraId="20F9978D" w14:textId="77777777" w:rsidR="00D71414" w:rsidRPr="003E3DFC" w:rsidRDefault="00D71414" w:rsidP="00490E0E">
            <w:pPr>
              <w:pStyle w:val="NoSpacing"/>
              <w:jc w:val="center"/>
              <w:rPr>
                <w:sz w:val="22"/>
                <w:lang w:val="en-GB"/>
              </w:rPr>
            </w:pPr>
            <w:r w:rsidRPr="003E3DFC">
              <w:rPr>
                <w:sz w:val="22"/>
                <w:lang w:val="en-GB"/>
              </w:rPr>
              <w:t>-4.2</w:t>
            </w:r>
          </w:p>
        </w:tc>
      </w:tr>
    </w:tbl>
    <w:p w14:paraId="4DC692EA" w14:textId="77777777" w:rsidR="00D71414" w:rsidRPr="003E3DFC" w:rsidRDefault="00D71414" w:rsidP="00D71414">
      <w:pPr>
        <w:pStyle w:val="NoSpacing"/>
        <w:rPr>
          <w:lang w:val="en-GB"/>
        </w:rPr>
      </w:pPr>
      <w:r w:rsidRPr="003E3DFC">
        <w:rPr>
          <w:lang w:val="en-GB"/>
        </w:rPr>
        <w:t xml:space="preserve">Source: Author’s own work based on LFS data from the State Statistical Office of </w:t>
      </w:r>
      <w:r w:rsidR="00C30864" w:rsidRPr="003E3DFC">
        <w:rPr>
          <w:lang w:val="en-GB"/>
        </w:rPr>
        <w:t>R. of Macedonia</w:t>
      </w:r>
      <w:r w:rsidRPr="003E3DFC">
        <w:rPr>
          <w:lang w:val="en-GB"/>
        </w:rPr>
        <w:t xml:space="preserve"> and Eurostat</w:t>
      </w:r>
    </w:p>
    <w:p w14:paraId="55FEF55F" w14:textId="77777777" w:rsidR="00900BB1" w:rsidRPr="003E3DFC" w:rsidRDefault="00900BB1" w:rsidP="00D71414">
      <w:pPr>
        <w:pStyle w:val="NoSpacing"/>
        <w:rPr>
          <w:lang w:val="en-GB"/>
        </w:rPr>
      </w:pPr>
    </w:p>
    <w:p w14:paraId="3118199A" w14:textId="42D0C6C5" w:rsidR="00976DE2" w:rsidRPr="003E3DFC" w:rsidRDefault="00250D43" w:rsidP="006303F6">
      <w:pPr>
        <w:pStyle w:val="NoSpacing"/>
        <w:rPr>
          <w:lang w:val="en-GB"/>
        </w:rPr>
      </w:pPr>
      <w:r w:rsidRPr="003E3DFC">
        <w:rPr>
          <w:lang w:val="en-GB"/>
        </w:rPr>
        <w:t xml:space="preserve">One of the ways to boost employment is through fostering entrepreneurship.  In this context, </w:t>
      </w:r>
      <w:r w:rsidR="00C30864" w:rsidRPr="003E3DFC">
        <w:rPr>
          <w:lang w:val="en-GB"/>
        </w:rPr>
        <w:t>R. of Macedonia</w:t>
      </w:r>
      <w:r w:rsidRPr="003E3DFC">
        <w:rPr>
          <w:lang w:val="en-GB"/>
        </w:rPr>
        <w:t xml:space="preserve"> shows progress. As can be seen from the number of self-employed females in the country (table 4), the number is on the rise going from app. 19.500 cases in 2008 to app. 27.900 cases in 2013. Approximately</w:t>
      </w:r>
      <w:r w:rsidR="00A91728" w:rsidRPr="003E3DFC">
        <w:rPr>
          <w:lang w:val="en-GB"/>
        </w:rPr>
        <w:t>,</w:t>
      </w:r>
      <w:r w:rsidRPr="003E3DFC">
        <w:rPr>
          <w:lang w:val="en-GB"/>
        </w:rPr>
        <w:t xml:space="preserve"> one third of self-employed females are at the same time also employers, and although this category has increased, the highest increase in the </w:t>
      </w:r>
      <w:r w:rsidR="00BF417F" w:rsidRPr="003E3DFC">
        <w:rPr>
          <w:lang w:val="en-GB"/>
        </w:rPr>
        <w:t xml:space="preserve">observed </w:t>
      </w:r>
      <w:r w:rsidRPr="003E3DFC">
        <w:rPr>
          <w:lang w:val="en-GB"/>
        </w:rPr>
        <w:t xml:space="preserve">study period (2008-2103) has been </w:t>
      </w:r>
      <w:r w:rsidR="003F1A12" w:rsidRPr="003E3DFC">
        <w:rPr>
          <w:lang w:val="en-GB"/>
        </w:rPr>
        <w:t>observed</w:t>
      </w:r>
      <w:r w:rsidRPr="003E3DFC">
        <w:rPr>
          <w:lang w:val="en-GB"/>
        </w:rPr>
        <w:t xml:space="preserve"> among self-employed females without employees (app. 6500 persons). </w:t>
      </w:r>
      <w:r w:rsidR="00BF417F" w:rsidRPr="003E3DFC">
        <w:rPr>
          <w:lang w:val="en-GB"/>
        </w:rPr>
        <w:t xml:space="preserve">The study period has in this case been reduced to include only observed figures from 2008-2013 due to missing data for period 2004 to 2007. </w:t>
      </w:r>
    </w:p>
    <w:p w14:paraId="049AE57E" w14:textId="77777777" w:rsidR="006303F6" w:rsidRPr="003E3DFC" w:rsidRDefault="006303F6" w:rsidP="006303F6">
      <w:pPr>
        <w:pStyle w:val="NoSpacing"/>
        <w:rPr>
          <w:lang w:val="en-GB"/>
        </w:rPr>
      </w:pPr>
    </w:p>
    <w:p w14:paraId="4562BD42" w14:textId="2F28FCB4" w:rsidR="00976DE2" w:rsidRPr="003E3DFC" w:rsidRDefault="00976DE2" w:rsidP="00976DE2">
      <w:pPr>
        <w:pStyle w:val="Caption"/>
        <w:rPr>
          <w:i w:val="0"/>
          <w:color w:val="auto"/>
          <w:sz w:val="24"/>
        </w:rPr>
      </w:pPr>
      <w:r w:rsidRPr="003E3DFC">
        <w:rPr>
          <w:i w:val="0"/>
          <w:color w:val="auto"/>
          <w:sz w:val="24"/>
        </w:rPr>
        <w:t xml:space="preserve">Table </w:t>
      </w:r>
      <w:r w:rsidRPr="003E3DFC">
        <w:rPr>
          <w:i w:val="0"/>
          <w:color w:val="auto"/>
          <w:sz w:val="24"/>
        </w:rPr>
        <w:fldChar w:fldCharType="begin"/>
      </w:r>
      <w:r w:rsidRPr="003E3DFC">
        <w:rPr>
          <w:i w:val="0"/>
          <w:color w:val="auto"/>
          <w:sz w:val="24"/>
        </w:rPr>
        <w:instrText xml:space="preserve"> SEQ Table \* ARABIC </w:instrText>
      </w:r>
      <w:r w:rsidRPr="003E3DFC">
        <w:rPr>
          <w:i w:val="0"/>
          <w:color w:val="auto"/>
          <w:sz w:val="24"/>
        </w:rPr>
        <w:fldChar w:fldCharType="separate"/>
      </w:r>
      <w:r w:rsidR="00F625BB" w:rsidRPr="003E3DFC">
        <w:rPr>
          <w:i w:val="0"/>
          <w:noProof/>
          <w:color w:val="auto"/>
          <w:sz w:val="24"/>
        </w:rPr>
        <w:t>4</w:t>
      </w:r>
      <w:r w:rsidRPr="003E3DFC">
        <w:rPr>
          <w:i w:val="0"/>
          <w:color w:val="auto"/>
          <w:sz w:val="24"/>
        </w:rPr>
        <w:fldChar w:fldCharType="end"/>
      </w:r>
      <w:r w:rsidR="003F1A12" w:rsidRPr="003E3DFC">
        <w:rPr>
          <w:i w:val="0"/>
          <w:color w:val="auto"/>
          <w:sz w:val="24"/>
        </w:rPr>
        <w:t>: Female self-e</w:t>
      </w:r>
      <w:r w:rsidRPr="003E3DFC">
        <w:rPr>
          <w:i w:val="0"/>
          <w:color w:val="auto"/>
          <w:sz w:val="24"/>
        </w:rPr>
        <w:t xml:space="preserve">mployment in </w:t>
      </w:r>
      <w:r w:rsidR="00C30864" w:rsidRPr="003E3DFC">
        <w:rPr>
          <w:i w:val="0"/>
          <w:color w:val="auto"/>
          <w:sz w:val="24"/>
        </w:rPr>
        <w:t>R. of Macedonia</w:t>
      </w:r>
      <w:r w:rsidRPr="003E3DFC">
        <w:rPr>
          <w:i w:val="0"/>
          <w:color w:val="auto"/>
          <w:sz w:val="24"/>
        </w:rPr>
        <w:t xml:space="preserve"> from 2008 - 2013 (</w:t>
      </w:r>
      <w:r w:rsidR="00A80198" w:rsidRPr="003E3DFC">
        <w:rPr>
          <w:i w:val="0"/>
          <w:color w:val="auto"/>
          <w:sz w:val="24"/>
        </w:rPr>
        <w:t>in t</w:t>
      </w:r>
      <w:r w:rsidRPr="003E3DFC">
        <w:rPr>
          <w:i w:val="0"/>
          <w:color w:val="auto"/>
          <w:sz w:val="24"/>
        </w:rPr>
        <w:t>housands)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66"/>
        <w:gridCol w:w="762"/>
        <w:gridCol w:w="762"/>
        <w:gridCol w:w="762"/>
        <w:gridCol w:w="762"/>
        <w:gridCol w:w="762"/>
        <w:gridCol w:w="764"/>
      </w:tblGrid>
      <w:tr w:rsidR="00976DE2" w:rsidRPr="003E3DFC" w14:paraId="7189FDD7" w14:textId="77777777" w:rsidTr="0066613D">
        <w:trPr>
          <w:trHeight w:val="288"/>
        </w:trPr>
        <w:tc>
          <w:tcPr>
            <w:tcW w:w="2550" w:type="pct"/>
            <w:shd w:val="clear" w:color="auto" w:fill="auto"/>
            <w:tcMar>
              <w:top w:w="15" w:type="dxa"/>
              <w:left w:w="108" w:type="dxa"/>
              <w:bottom w:w="0" w:type="dxa"/>
              <w:right w:w="108" w:type="dxa"/>
            </w:tcMar>
            <w:vAlign w:val="center"/>
            <w:hideMark/>
          </w:tcPr>
          <w:p w14:paraId="78036670" w14:textId="77777777" w:rsidR="00976DE2" w:rsidRPr="003E3DFC" w:rsidRDefault="00976DE2" w:rsidP="00976DE2">
            <w:pPr>
              <w:pStyle w:val="NoSpacing"/>
              <w:rPr>
                <w:b/>
                <w:lang w:val="en-GB"/>
              </w:rPr>
            </w:pPr>
            <w:r w:rsidRPr="003E3DFC">
              <w:rPr>
                <w:b/>
                <w:lang w:val="en-GB"/>
              </w:rPr>
              <w:t>Self-employment Type/Year</w:t>
            </w:r>
          </w:p>
        </w:tc>
        <w:tc>
          <w:tcPr>
            <w:tcW w:w="408" w:type="pct"/>
            <w:shd w:val="clear" w:color="auto" w:fill="auto"/>
            <w:tcMar>
              <w:top w:w="15" w:type="dxa"/>
              <w:left w:w="108" w:type="dxa"/>
              <w:bottom w:w="0" w:type="dxa"/>
              <w:right w:w="108" w:type="dxa"/>
            </w:tcMar>
            <w:vAlign w:val="center"/>
            <w:hideMark/>
          </w:tcPr>
          <w:p w14:paraId="357DD23F" w14:textId="77777777" w:rsidR="00976DE2" w:rsidRPr="003E3DFC" w:rsidRDefault="00976DE2" w:rsidP="00976DE2">
            <w:pPr>
              <w:pStyle w:val="NoSpacing"/>
              <w:jc w:val="center"/>
              <w:rPr>
                <w:b/>
                <w:lang w:val="en-GB"/>
              </w:rPr>
            </w:pPr>
            <w:r w:rsidRPr="003E3DFC">
              <w:rPr>
                <w:b/>
                <w:lang w:val="en-GB"/>
              </w:rPr>
              <w:t>2008</w:t>
            </w:r>
          </w:p>
        </w:tc>
        <w:tc>
          <w:tcPr>
            <w:tcW w:w="408" w:type="pct"/>
            <w:shd w:val="clear" w:color="auto" w:fill="auto"/>
            <w:tcMar>
              <w:top w:w="15" w:type="dxa"/>
              <w:left w:w="108" w:type="dxa"/>
              <w:bottom w:w="0" w:type="dxa"/>
              <w:right w:w="108" w:type="dxa"/>
            </w:tcMar>
            <w:vAlign w:val="center"/>
            <w:hideMark/>
          </w:tcPr>
          <w:p w14:paraId="36F78298" w14:textId="77777777" w:rsidR="00976DE2" w:rsidRPr="003E3DFC" w:rsidRDefault="00976DE2" w:rsidP="00976DE2">
            <w:pPr>
              <w:pStyle w:val="NoSpacing"/>
              <w:jc w:val="center"/>
              <w:rPr>
                <w:b/>
                <w:lang w:val="en-GB"/>
              </w:rPr>
            </w:pPr>
            <w:r w:rsidRPr="003E3DFC">
              <w:rPr>
                <w:b/>
                <w:lang w:val="en-GB"/>
              </w:rPr>
              <w:t>2009</w:t>
            </w:r>
          </w:p>
        </w:tc>
        <w:tc>
          <w:tcPr>
            <w:tcW w:w="408" w:type="pct"/>
            <w:shd w:val="clear" w:color="auto" w:fill="auto"/>
            <w:tcMar>
              <w:top w:w="15" w:type="dxa"/>
              <w:left w:w="108" w:type="dxa"/>
              <w:bottom w:w="0" w:type="dxa"/>
              <w:right w:w="108" w:type="dxa"/>
            </w:tcMar>
            <w:vAlign w:val="center"/>
            <w:hideMark/>
          </w:tcPr>
          <w:p w14:paraId="5059D48A" w14:textId="77777777" w:rsidR="00976DE2" w:rsidRPr="003E3DFC" w:rsidRDefault="00976DE2" w:rsidP="00976DE2">
            <w:pPr>
              <w:pStyle w:val="NoSpacing"/>
              <w:jc w:val="center"/>
              <w:rPr>
                <w:b/>
                <w:lang w:val="en-GB"/>
              </w:rPr>
            </w:pPr>
            <w:r w:rsidRPr="003E3DFC">
              <w:rPr>
                <w:b/>
                <w:lang w:val="en-GB"/>
              </w:rPr>
              <w:t>2010</w:t>
            </w:r>
          </w:p>
        </w:tc>
        <w:tc>
          <w:tcPr>
            <w:tcW w:w="408" w:type="pct"/>
            <w:shd w:val="clear" w:color="auto" w:fill="auto"/>
            <w:tcMar>
              <w:top w:w="15" w:type="dxa"/>
              <w:left w:w="108" w:type="dxa"/>
              <w:bottom w:w="0" w:type="dxa"/>
              <w:right w:w="108" w:type="dxa"/>
            </w:tcMar>
            <w:vAlign w:val="center"/>
            <w:hideMark/>
          </w:tcPr>
          <w:p w14:paraId="213B8B60" w14:textId="77777777" w:rsidR="00976DE2" w:rsidRPr="003E3DFC" w:rsidRDefault="00976DE2" w:rsidP="00976DE2">
            <w:pPr>
              <w:pStyle w:val="NoSpacing"/>
              <w:jc w:val="center"/>
              <w:rPr>
                <w:b/>
                <w:lang w:val="en-GB"/>
              </w:rPr>
            </w:pPr>
            <w:r w:rsidRPr="003E3DFC">
              <w:rPr>
                <w:b/>
                <w:lang w:val="en-GB"/>
              </w:rPr>
              <w:t>2011</w:t>
            </w:r>
          </w:p>
        </w:tc>
        <w:tc>
          <w:tcPr>
            <w:tcW w:w="408" w:type="pct"/>
            <w:shd w:val="clear" w:color="auto" w:fill="auto"/>
            <w:tcMar>
              <w:top w:w="15" w:type="dxa"/>
              <w:left w:w="108" w:type="dxa"/>
              <w:bottom w:w="0" w:type="dxa"/>
              <w:right w:w="108" w:type="dxa"/>
            </w:tcMar>
            <w:vAlign w:val="center"/>
            <w:hideMark/>
          </w:tcPr>
          <w:p w14:paraId="045EA22B" w14:textId="77777777" w:rsidR="00976DE2" w:rsidRPr="003E3DFC" w:rsidRDefault="00976DE2" w:rsidP="00976DE2">
            <w:pPr>
              <w:pStyle w:val="NoSpacing"/>
              <w:jc w:val="center"/>
              <w:rPr>
                <w:b/>
                <w:lang w:val="en-GB"/>
              </w:rPr>
            </w:pPr>
            <w:r w:rsidRPr="003E3DFC">
              <w:rPr>
                <w:b/>
                <w:lang w:val="en-GB"/>
              </w:rPr>
              <w:t>2012</w:t>
            </w:r>
          </w:p>
        </w:tc>
        <w:tc>
          <w:tcPr>
            <w:tcW w:w="409" w:type="pct"/>
            <w:shd w:val="clear" w:color="auto" w:fill="auto"/>
            <w:tcMar>
              <w:top w:w="15" w:type="dxa"/>
              <w:left w:w="108" w:type="dxa"/>
              <w:bottom w:w="0" w:type="dxa"/>
              <w:right w:w="108" w:type="dxa"/>
            </w:tcMar>
            <w:vAlign w:val="center"/>
            <w:hideMark/>
          </w:tcPr>
          <w:p w14:paraId="3D7FF941" w14:textId="77777777" w:rsidR="00976DE2" w:rsidRPr="003E3DFC" w:rsidRDefault="00976DE2" w:rsidP="00976DE2">
            <w:pPr>
              <w:pStyle w:val="NoSpacing"/>
              <w:jc w:val="center"/>
              <w:rPr>
                <w:b/>
                <w:lang w:val="en-GB"/>
              </w:rPr>
            </w:pPr>
            <w:r w:rsidRPr="003E3DFC">
              <w:rPr>
                <w:b/>
                <w:lang w:val="en-GB"/>
              </w:rPr>
              <w:t>2013</w:t>
            </w:r>
          </w:p>
        </w:tc>
      </w:tr>
      <w:tr w:rsidR="00976DE2" w:rsidRPr="003E3DFC" w14:paraId="2A45DDB2" w14:textId="77777777" w:rsidTr="0066613D">
        <w:trPr>
          <w:trHeight w:val="288"/>
        </w:trPr>
        <w:tc>
          <w:tcPr>
            <w:tcW w:w="2550" w:type="pct"/>
            <w:shd w:val="clear" w:color="auto" w:fill="auto"/>
            <w:tcMar>
              <w:top w:w="15" w:type="dxa"/>
              <w:left w:w="108" w:type="dxa"/>
              <w:bottom w:w="0" w:type="dxa"/>
              <w:right w:w="108" w:type="dxa"/>
            </w:tcMar>
            <w:vAlign w:val="center"/>
            <w:hideMark/>
          </w:tcPr>
          <w:p w14:paraId="55DC0908" w14:textId="77777777" w:rsidR="00976DE2" w:rsidRPr="003E3DFC" w:rsidRDefault="00976DE2" w:rsidP="00976DE2">
            <w:pPr>
              <w:pStyle w:val="NoSpacing"/>
              <w:jc w:val="left"/>
              <w:rPr>
                <w:b/>
                <w:lang w:val="en-GB"/>
              </w:rPr>
            </w:pPr>
            <w:r w:rsidRPr="003E3DFC">
              <w:rPr>
                <w:b/>
                <w:lang w:val="en-GB"/>
              </w:rPr>
              <w:t>Self-employed Total</w:t>
            </w:r>
          </w:p>
        </w:tc>
        <w:tc>
          <w:tcPr>
            <w:tcW w:w="408" w:type="pct"/>
            <w:shd w:val="clear" w:color="auto" w:fill="auto"/>
            <w:tcMar>
              <w:top w:w="15" w:type="dxa"/>
              <w:left w:w="108" w:type="dxa"/>
              <w:bottom w:w="0" w:type="dxa"/>
              <w:right w:w="108" w:type="dxa"/>
            </w:tcMar>
            <w:vAlign w:val="center"/>
            <w:hideMark/>
          </w:tcPr>
          <w:p w14:paraId="75534F58" w14:textId="77777777" w:rsidR="00976DE2" w:rsidRPr="003E3DFC" w:rsidRDefault="00976DE2" w:rsidP="00976DE2">
            <w:pPr>
              <w:pStyle w:val="NoSpacing"/>
              <w:jc w:val="center"/>
              <w:rPr>
                <w:lang w:val="en-GB"/>
              </w:rPr>
            </w:pPr>
            <w:r w:rsidRPr="003E3DFC">
              <w:rPr>
                <w:lang w:val="en-GB"/>
              </w:rPr>
              <w:t>19.5</w:t>
            </w:r>
          </w:p>
        </w:tc>
        <w:tc>
          <w:tcPr>
            <w:tcW w:w="408" w:type="pct"/>
            <w:shd w:val="clear" w:color="auto" w:fill="auto"/>
            <w:tcMar>
              <w:top w:w="15" w:type="dxa"/>
              <w:left w:w="108" w:type="dxa"/>
              <w:bottom w:w="0" w:type="dxa"/>
              <w:right w:w="108" w:type="dxa"/>
            </w:tcMar>
            <w:vAlign w:val="center"/>
            <w:hideMark/>
          </w:tcPr>
          <w:p w14:paraId="1817E233" w14:textId="77777777" w:rsidR="00976DE2" w:rsidRPr="003E3DFC" w:rsidRDefault="00976DE2" w:rsidP="00976DE2">
            <w:pPr>
              <w:pStyle w:val="NoSpacing"/>
              <w:jc w:val="center"/>
              <w:rPr>
                <w:lang w:val="en-GB"/>
              </w:rPr>
            </w:pPr>
            <w:r w:rsidRPr="003E3DFC">
              <w:rPr>
                <w:lang w:val="en-GB"/>
              </w:rPr>
              <w:t>17.8</w:t>
            </w:r>
          </w:p>
        </w:tc>
        <w:tc>
          <w:tcPr>
            <w:tcW w:w="408" w:type="pct"/>
            <w:shd w:val="clear" w:color="auto" w:fill="auto"/>
            <w:tcMar>
              <w:top w:w="15" w:type="dxa"/>
              <w:left w:w="108" w:type="dxa"/>
              <w:bottom w:w="0" w:type="dxa"/>
              <w:right w:w="108" w:type="dxa"/>
            </w:tcMar>
            <w:vAlign w:val="center"/>
            <w:hideMark/>
          </w:tcPr>
          <w:p w14:paraId="674D827C" w14:textId="77777777" w:rsidR="00976DE2" w:rsidRPr="003E3DFC" w:rsidRDefault="00976DE2" w:rsidP="00976DE2">
            <w:pPr>
              <w:pStyle w:val="NoSpacing"/>
              <w:jc w:val="center"/>
              <w:rPr>
                <w:lang w:val="en-GB"/>
              </w:rPr>
            </w:pPr>
            <w:r w:rsidRPr="003E3DFC">
              <w:rPr>
                <w:lang w:val="en-GB"/>
              </w:rPr>
              <w:t>20.2</w:t>
            </w:r>
          </w:p>
        </w:tc>
        <w:tc>
          <w:tcPr>
            <w:tcW w:w="408" w:type="pct"/>
            <w:shd w:val="clear" w:color="auto" w:fill="auto"/>
            <w:tcMar>
              <w:top w:w="15" w:type="dxa"/>
              <w:left w:w="108" w:type="dxa"/>
              <w:bottom w:w="0" w:type="dxa"/>
              <w:right w:w="108" w:type="dxa"/>
            </w:tcMar>
            <w:vAlign w:val="center"/>
            <w:hideMark/>
          </w:tcPr>
          <w:p w14:paraId="2393C596" w14:textId="77777777" w:rsidR="00976DE2" w:rsidRPr="003E3DFC" w:rsidRDefault="00976DE2" w:rsidP="00976DE2">
            <w:pPr>
              <w:pStyle w:val="NoSpacing"/>
              <w:jc w:val="center"/>
              <w:rPr>
                <w:lang w:val="en-GB"/>
              </w:rPr>
            </w:pPr>
            <w:r w:rsidRPr="003E3DFC">
              <w:rPr>
                <w:lang w:val="en-GB"/>
              </w:rPr>
              <w:t>23.9</w:t>
            </w:r>
          </w:p>
        </w:tc>
        <w:tc>
          <w:tcPr>
            <w:tcW w:w="408" w:type="pct"/>
            <w:shd w:val="clear" w:color="auto" w:fill="auto"/>
            <w:tcMar>
              <w:top w:w="15" w:type="dxa"/>
              <w:left w:w="108" w:type="dxa"/>
              <w:bottom w:w="0" w:type="dxa"/>
              <w:right w:w="108" w:type="dxa"/>
            </w:tcMar>
            <w:vAlign w:val="center"/>
            <w:hideMark/>
          </w:tcPr>
          <w:p w14:paraId="770FCC9A" w14:textId="77777777" w:rsidR="00976DE2" w:rsidRPr="003E3DFC" w:rsidRDefault="00976DE2" w:rsidP="00976DE2">
            <w:pPr>
              <w:pStyle w:val="NoSpacing"/>
              <w:jc w:val="center"/>
              <w:rPr>
                <w:lang w:val="en-GB"/>
              </w:rPr>
            </w:pPr>
            <w:r w:rsidRPr="003E3DFC">
              <w:rPr>
                <w:lang w:val="en-GB"/>
              </w:rPr>
              <w:t>24.0</w:t>
            </w:r>
          </w:p>
        </w:tc>
        <w:tc>
          <w:tcPr>
            <w:tcW w:w="409" w:type="pct"/>
            <w:shd w:val="clear" w:color="auto" w:fill="auto"/>
            <w:tcMar>
              <w:top w:w="15" w:type="dxa"/>
              <w:left w:w="108" w:type="dxa"/>
              <w:bottom w:w="0" w:type="dxa"/>
              <w:right w:w="108" w:type="dxa"/>
            </w:tcMar>
            <w:vAlign w:val="center"/>
            <w:hideMark/>
          </w:tcPr>
          <w:p w14:paraId="34292A3B" w14:textId="77777777" w:rsidR="00976DE2" w:rsidRPr="003E3DFC" w:rsidRDefault="00976DE2" w:rsidP="00976DE2">
            <w:pPr>
              <w:pStyle w:val="NoSpacing"/>
              <w:jc w:val="center"/>
              <w:rPr>
                <w:lang w:val="en-GB"/>
              </w:rPr>
            </w:pPr>
            <w:r w:rsidRPr="003E3DFC">
              <w:rPr>
                <w:lang w:val="en-GB"/>
              </w:rPr>
              <w:t>27.9</w:t>
            </w:r>
          </w:p>
        </w:tc>
      </w:tr>
      <w:tr w:rsidR="00976DE2" w:rsidRPr="003E3DFC" w14:paraId="0AAC2175" w14:textId="77777777" w:rsidTr="0066613D">
        <w:trPr>
          <w:trHeight w:val="288"/>
        </w:trPr>
        <w:tc>
          <w:tcPr>
            <w:tcW w:w="2550" w:type="pct"/>
            <w:shd w:val="clear" w:color="auto" w:fill="auto"/>
            <w:tcMar>
              <w:top w:w="15" w:type="dxa"/>
              <w:left w:w="108" w:type="dxa"/>
              <w:bottom w:w="0" w:type="dxa"/>
              <w:right w:w="108" w:type="dxa"/>
            </w:tcMar>
            <w:vAlign w:val="center"/>
            <w:hideMark/>
          </w:tcPr>
          <w:p w14:paraId="5556BB59" w14:textId="77777777" w:rsidR="00976DE2" w:rsidRPr="003E3DFC" w:rsidRDefault="00976DE2" w:rsidP="00976DE2">
            <w:pPr>
              <w:pStyle w:val="NoSpacing"/>
              <w:jc w:val="left"/>
              <w:rPr>
                <w:b/>
                <w:lang w:val="en-GB"/>
              </w:rPr>
            </w:pPr>
            <w:r w:rsidRPr="003E3DFC">
              <w:rPr>
                <w:b/>
                <w:lang w:val="en-GB"/>
              </w:rPr>
              <w:t>Self-employed persons with employees (employers)</w:t>
            </w:r>
          </w:p>
        </w:tc>
        <w:tc>
          <w:tcPr>
            <w:tcW w:w="408" w:type="pct"/>
            <w:shd w:val="clear" w:color="auto" w:fill="auto"/>
            <w:tcMar>
              <w:top w:w="15" w:type="dxa"/>
              <w:left w:w="108" w:type="dxa"/>
              <w:bottom w:w="0" w:type="dxa"/>
              <w:right w:w="108" w:type="dxa"/>
            </w:tcMar>
            <w:vAlign w:val="center"/>
            <w:hideMark/>
          </w:tcPr>
          <w:p w14:paraId="7B5E1C52" w14:textId="77777777" w:rsidR="00976DE2" w:rsidRPr="003E3DFC" w:rsidRDefault="00976DE2" w:rsidP="00976DE2">
            <w:pPr>
              <w:pStyle w:val="NoSpacing"/>
              <w:jc w:val="center"/>
              <w:rPr>
                <w:lang w:val="en-GB"/>
              </w:rPr>
            </w:pPr>
            <w:r w:rsidRPr="003E3DFC">
              <w:rPr>
                <w:lang w:val="en-GB"/>
              </w:rPr>
              <w:t>7.1</w:t>
            </w:r>
          </w:p>
        </w:tc>
        <w:tc>
          <w:tcPr>
            <w:tcW w:w="408" w:type="pct"/>
            <w:shd w:val="clear" w:color="auto" w:fill="auto"/>
            <w:tcMar>
              <w:top w:w="15" w:type="dxa"/>
              <w:left w:w="108" w:type="dxa"/>
              <w:bottom w:w="0" w:type="dxa"/>
              <w:right w:w="108" w:type="dxa"/>
            </w:tcMar>
            <w:vAlign w:val="center"/>
            <w:hideMark/>
          </w:tcPr>
          <w:p w14:paraId="64717192" w14:textId="77777777" w:rsidR="00976DE2" w:rsidRPr="003E3DFC" w:rsidRDefault="00976DE2" w:rsidP="00976DE2">
            <w:pPr>
              <w:pStyle w:val="NoSpacing"/>
              <w:jc w:val="center"/>
              <w:rPr>
                <w:lang w:val="en-GB"/>
              </w:rPr>
            </w:pPr>
            <w:r w:rsidRPr="003E3DFC">
              <w:rPr>
                <w:lang w:val="en-GB"/>
              </w:rPr>
              <w:t>7.3</w:t>
            </w:r>
          </w:p>
        </w:tc>
        <w:tc>
          <w:tcPr>
            <w:tcW w:w="408" w:type="pct"/>
            <w:shd w:val="clear" w:color="auto" w:fill="auto"/>
            <w:tcMar>
              <w:top w:w="15" w:type="dxa"/>
              <w:left w:w="108" w:type="dxa"/>
              <w:bottom w:w="0" w:type="dxa"/>
              <w:right w:w="108" w:type="dxa"/>
            </w:tcMar>
            <w:vAlign w:val="center"/>
            <w:hideMark/>
          </w:tcPr>
          <w:p w14:paraId="6F1ECA93" w14:textId="77777777" w:rsidR="00976DE2" w:rsidRPr="003E3DFC" w:rsidRDefault="00976DE2" w:rsidP="00976DE2">
            <w:pPr>
              <w:pStyle w:val="NoSpacing"/>
              <w:jc w:val="center"/>
              <w:rPr>
                <w:lang w:val="en-GB"/>
              </w:rPr>
            </w:pPr>
            <w:r w:rsidRPr="003E3DFC">
              <w:rPr>
                <w:lang w:val="en-GB"/>
              </w:rPr>
              <w:t>8.5</w:t>
            </w:r>
          </w:p>
        </w:tc>
        <w:tc>
          <w:tcPr>
            <w:tcW w:w="408" w:type="pct"/>
            <w:shd w:val="clear" w:color="auto" w:fill="auto"/>
            <w:tcMar>
              <w:top w:w="15" w:type="dxa"/>
              <w:left w:w="108" w:type="dxa"/>
              <w:bottom w:w="0" w:type="dxa"/>
              <w:right w:w="108" w:type="dxa"/>
            </w:tcMar>
            <w:vAlign w:val="center"/>
            <w:hideMark/>
          </w:tcPr>
          <w:p w14:paraId="0B4E4FC2" w14:textId="77777777" w:rsidR="00976DE2" w:rsidRPr="003E3DFC" w:rsidRDefault="00976DE2" w:rsidP="00976DE2">
            <w:pPr>
              <w:pStyle w:val="NoSpacing"/>
              <w:jc w:val="center"/>
              <w:rPr>
                <w:lang w:val="en-GB"/>
              </w:rPr>
            </w:pPr>
            <w:r w:rsidRPr="003E3DFC">
              <w:rPr>
                <w:lang w:val="en-GB"/>
              </w:rPr>
              <w:t>9.1</w:t>
            </w:r>
          </w:p>
        </w:tc>
        <w:tc>
          <w:tcPr>
            <w:tcW w:w="408" w:type="pct"/>
            <w:shd w:val="clear" w:color="auto" w:fill="auto"/>
            <w:tcMar>
              <w:top w:w="15" w:type="dxa"/>
              <w:left w:w="108" w:type="dxa"/>
              <w:bottom w:w="0" w:type="dxa"/>
              <w:right w:w="108" w:type="dxa"/>
            </w:tcMar>
            <w:vAlign w:val="center"/>
            <w:hideMark/>
          </w:tcPr>
          <w:p w14:paraId="56567DBF" w14:textId="77777777" w:rsidR="00976DE2" w:rsidRPr="003E3DFC" w:rsidRDefault="00976DE2" w:rsidP="00976DE2">
            <w:pPr>
              <w:pStyle w:val="NoSpacing"/>
              <w:jc w:val="center"/>
              <w:rPr>
                <w:lang w:val="en-GB"/>
              </w:rPr>
            </w:pPr>
            <w:r w:rsidRPr="003E3DFC">
              <w:rPr>
                <w:lang w:val="en-GB"/>
              </w:rPr>
              <w:t>8.2</w:t>
            </w:r>
          </w:p>
        </w:tc>
        <w:tc>
          <w:tcPr>
            <w:tcW w:w="409" w:type="pct"/>
            <w:shd w:val="clear" w:color="auto" w:fill="auto"/>
            <w:tcMar>
              <w:top w:w="15" w:type="dxa"/>
              <w:left w:w="108" w:type="dxa"/>
              <w:bottom w:w="0" w:type="dxa"/>
              <w:right w:w="108" w:type="dxa"/>
            </w:tcMar>
            <w:vAlign w:val="center"/>
            <w:hideMark/>
          </w:tcPr>
          <w:p w14:paraId="4F22F209" w14:textId="77777777" w:rsidR="00976DE2" w:rsidRPr="003E3DFC" w:rsidRDefault="00976DE2" w:rsidP="00976DE2">
            <w:pPr>
              <w:pStyle w:val="NoSpacing"/>
              <w:jc w:val="center"/>
              <w:rPr>
                <w:lang w:val="en-GB"/>
              </w:rPr>
            </w:pPr>
            <w:r w:rsidRPr="003E3DFC">
              <w:rPr>
                <w:lang w:val="en-GB"/>
              </w:rPr>
              <w:t>9.0</w:t>
            </w:r>
          </w:p>
        </w:tc>
      </w:tr>
      <w:tr w:rsidR="00976DE2" w:rsidRPr="003E3DFC" w14:paraId="64A3A32D" w14:textId="77777777" w:rsidTr="0066613D">
        <w:trPr>
          <w:trHeight w:val="288"/>
        </w:trPr>
        <w:tc>
          <w:tcPr>
            <w:tcW w:w="2550" w:type="pct"/>
            <w:shd w:val="clear" w:color="auto" w:fill="auto"/>
            <w:tcMar>
              <w:top w:w="15" w:type="dxa"/>
              <w:left w:w="108" w:type="dxa"/>
              <w:bottom w:w="0" w:type="dxa"/>
              <w:right w:w="108" w:type="dxa"/>
            </w:tcMar>
            <w:vAlign w:val="center"/>
            <w:hideMark/>
          </w:tcPr>
          <w:p w14:paraId="088C4559" w14:textId="77777777" w:rsidR="00976DE2" w:rsidRPr="003E3DFC" w:rsidRDefault="00976DE2" w:rsidP="00976DE2">
            <w:pPr>
              <w:pStyle w:val="NoSpacing"/>
              <w:jc w:val="left"/>
              <w:rPr>
                <w:b/>
                <w:lang w:val="en-GB"/>
              </w:rPr>
            </w:pPr>
            <w:r w:rsidRPr="003E3DFC">
              <w:rPr>
                <w:b/>
                <w:lang w:val="en-GB"/>
              </w:rPr>
              <w:t>Self-employed persons without employees (own-account workers)</w:t>
            </w:r>
          </w:p>
        </w:tc>
        <w:tc>
          <w:tcPr>
            <w:tcW w:w="408" w:type="pct"/>
            <w:shd w:val="clear" w:color="auto" w:fill="auto"/>
            <w:tcMar>
              <w:top w:w="15" w:type="dxa"/>
              <w:left w:w="108" w:type="dxa"/>
              <w:bottom w:w="0" w:type="dxa"/>
              <w:right w:w="108" w:type="dxa"/>
            </w:tcMar>
            <w:vAlign w:val="center"/>
            <w:hideMark/>
          </w:tcPr>
          <w:p w14:paraId="084D1185" w14:textId="77777777" w:rsidR="00976DE2" w:rsidRPr="003E3DFC" w:rsidRDefault="00976DE2" w:rsidP="00976DE2">
            <w:pPr>
              <w:pStyle w:val="NoSpacing"/>
              <w:jc w:val="center"/>
              <w:rPr>
                <w:lang w:val="en-GB"/>
              </w:rPr>
            </w:pPr>
            <w:r w:rsidRPr="003E3DFC">
              <w:rPr>
                <w:lang w:val="en-GB"/>
              </w:rPr>
              <w:t>12.4</w:t>
            </w:r>
          </w:p>
        </w:tc>
        <w:tc>
          <w:tcPr>
            <w:tcW w:w="408" w:type="pct"/>
            <w:shd w:val="clear" w:color="auto" w:fill="auto"/>
            <w:tcMar>
              <w:top w:w="15" w:type="dxa"/>
              <w:left w:w="108" w:type="dxa"/>
              <w:bottom w:w="0" w:type="dxa"/>
              <w:right w:w="108" w:type="dxa"/>
            </w:tcMar>
            <w:vAlign w:val="center"/>
            <w:hideMark/>
          </w:tcPr>
          <w:p w14:paraId="0FA5D8E9" w14:textId="77777777" w:rsidR="00976DE2" w:rsidRPr="003E3DFC" w:rsidRDefault="00976DE2" w:rsidP="00976DE2">
            <w:pPr>
              <w:pStyle w:val="NoSpacing"/>
              <w:jc w:val="center"/>
              <w:rPr>
                <w:lang w:val="en-GB"/>
              </w:rPr>
            </w:pPr>
            <w:r w:rsidRPr="003E3DFC">
              <w:rPr>
                <w:lang w:val="en-GB"/>
              </w:rPr>
              <w:t>10.5</w:t>
            </w:r>
          </w:p>
        </w:tc>
        <w:tc>
          <w:tcPr>
            <w:tcW w:w="408" w:type="pct"/>
            <w:shd w:val="clear" w:color="auto" w:fill="auto"/>
            <w:tcMar>
              <w:top w:w="15" w:type="dxa"/>
              <w:left w:w="108" w:type="dxa"/>
              <w:bottom w:w="0" w:type="dxa"/>
              <w:right w:w="108" w:type="dxa"/>
            </w:tcMar>
            <w:vAlign w:val="center"/>
            <w:hideMark/>
          </w:tcPr>
          <w:p w14:paraId="687F21F5" w14:textId="77777777" w:rsidR="00976DE2" w:rsidRPr="003E3DFC" w:rsidRDefault="00976DE2" w:rsidP="00976DE2">
            <w:pPr>
              <w:pStyle w:val="NoSpacing"/>
              <w:jc w:val="center"/>
              <w:rPr>
                <w:lang w:val="en-GB"/>
              </w:rPr>
            </w:pPr>
            <w:r w:rsidRPr="003E3DFC">
              <w:rPr>
                <w:lang w:val="en-GB"/>
              </w:rPr>
              <w:t>11.7</w:t>
            </w:r>
          </w:p>
        </w:tc>
        <w:tc>
          <w:tcPr>
            <w:tcW w:w="408" w:type="pct"/>
            <w:shd w:val="clear" w:color="auto" w:fill="auto"/>
            <w:tcMar>
              <w:top w:w="15" w:type="dxa"/>
              <w:left w:w="108" w:type="dxa"/>
              <w:bottom w:w="0" w:type="dxa"/>
              <w:right w:w="108" w:type="dxa"/>
            </w:tcMar>
            <w:vAlign w:val="center"/>
            <w:hideMark/>
          </w:tcPr>
          <w:p w14:paraId="7046A07F" w14:textId="77777777" w:rsidR="00976DE2" w:rsidRPr="003E3DFC" w:rsidRDefault="00976DE2" w:rsidP="00976DE2">
            <w:pPr>
              <w:pStyle w:val="NoSpacing"/>
              <w:jc w:val="center"/>
              <w:rPr>
                <w:lang w:val="en-GB"/>
              </w:rPr>
            </w:pPr>
            <w:r w:rsidRPr="003E3DFC">
              <w:rPr>
                <w:lang w:val="en-GB"/>
              </w:rPr>
              <w:t>14.8</w:t>
            </w:r>
          </w:p>
        </w:tc>
        <w:tc>
          <w:tcPr>
            <w:tcW w:w="408" w:type="pct"/>
            <w:shd w:val="clear" w:color="auto" w:fill="auto"/>
            <w:tcMar>
              <w:top w:w="15" w:type="dxa"/>
              <w:left w:w="108" w:type="dxa"/>
              <w:bottom w:w="0" w:type="dxa"/>
              <w:right w:w="108" w:type="dxa"/>
            </w:tcMar>
            <w:vAlign w:val="center"/>
            <w:hideMark/>
          </w:tcPr>
          <w:p w14:paraId="608828F0" w14:textId="77777777" w:rsidR="00976DE2" w:rsidRPr="003E3DFC" w:rsidRDefault="00976DE2" w:rsidP="00976DE2">
            <w:pPr>
              <w:pStyle w:val="NoSpacing"/>
              <w:jc w:val="center"/>
              <w:rPr>
                <w:lang w:val="en-GB"/>
              </w:rPr>
            </w:pPr>
            <w:r w:rsidRPr="003E3DFC">
              <w:rPr>
                <w:lang w:val="en-GB"/>
              </w:rPr>
              <w:t>15.8</w:t>
            </w:r>
          </w:p>
        </w:tc>
        <w:tc>
          <w:tcPr>
            <w:tcW w:w="409" w:type="pct"/>
            <w:shd w:val="clear" w:color="auto" w:fill="auto"/>
            <w:tcMar>
              <w:top w:w="15" w:type="dxa"/>
              <w:left w:w="108" w:type="dxa"/>
              <w:bottom w:w="0" w:type="dxa"/>
              <w:right w:w="108" w:type="dxa"/>
            </w:tcMar>
            <w:vAlign w:val="center"/>
            <w:hideMark/>
          </w:tcPr>
          <w:p w14:paraId="62976251" w14:textId="77777777" w:rsidR="00976DE2" w:rsidRPr="003E3DFC" w:rsidRDefault="00976DE2" w:rsidP="00976DE2">
            <w:pPr>
              <w:pStyle w:val="NoSpacing"/>
              <w:jc w:val="center"/>
              <w:rPr>
                <w:lang w:val="en-GB"/>
              </w:rPr>
            </w:pPr>
            <w:r w:rsidRPr="003E3DFC">
              <w:rPr>
                <w:lang w:val="en-GB"/>
              </w:rPr>
              <w:t>18.9</w:t>
            </w:r>
          </w:p>
        </w:tc>
      </w:tr>
    </w:tbl>
    <w:p w14:paraId="74B7E8CF" w14:textId="77777777" w:rsidR="00976DE2" w:rsidRPr="003E3DFC" w:rsidRDefault="00976DE2" w:rsidP="00976DE2">
      <w:pPr>
        <w:pStyle w:val="NoSpacing"/>
        <w:rPr>
          <w:lang w:val="en-GB"/>
        </w:rPr>
      </w:pPr>
      <w:r w:rsidRPr="003E3DFC">
        <w:rPr>
          <w:lang w:val="en-GB"/>
        </w:rPr>
        <w:t xml:space="preserve">Source: LFS, State Statistical Office of the </w:t>
      </w:r>
      <w:r w:rsidR="00C30864" w:rsidRPr="003E3DFC">
        <w:rPr>
          <w:lang w:val="en-GB"/>
        </w:rPr>
        <w:t>R. of Macedonia</w:t>
      </w:r>
    </w:p>
    <w:p w14:paraId="4E6B49E1" w14:textId="77777777" w:rsidR="00306A8D" w:rsidRPr="003E3DFC" w:rsidRDefault="00306A8D" w:rsidP="006303F6">
      <w:pPr>
        <w:pStyle w:val="NoSpacing"/>
        <w:rPr>
          <w:lang w:val="en-GB"/>
        </w:rPr>
      </w:pPr>
    </w:p>
    <w:p w14:paraId="04FE202C" w14:textId="440F20B4" w:rsidR="00306A8D" w:rsidRPr="003E3DFC" w:rsidRDefault="00C614FD" w:rsidP="006303F6">
      <w:pPr>
        <w:pStyle w:val="NoSpacing"/>
        <w:rPr>
          <w:lang w:val="en-GB"/>
        </w:rPr>
      </w:pPr>
      <w:r w:rsidRPr="003E3DFC">
        <w:rPr>
          <w:lang w:val="en-GB"/>
        </w:rPr>
        <w:t xml:space="preserve">Compared to benchmark countries (table </w:t>
      </w:r>
      <w:r w:rsidR="00F625BB" w:rsidRPr="003E3DFC">
        <w:rPr>
          <w:lang w:val="en-GB"/>
        </w:rPr>
        <w:t>5</w:t>
      </w:r>
      <w:r w:rsidRPr="003E3DFC">
        <w:rPr>
          <w:lang w:val="en-GB"/>
        </w:rPr>
        <w:t xml:space="preserve">), the </w:t>
      </w:r>
      <w:r w:rsidR="00C30864" w:rsidRPr="003E3DFC">
        <w:rPr>
          <w:lang w:val="en-GB"/>
        </w:rPr>
        <w:t>R. of Macedonia</w:t>
      </w:r>
      <w:r w:rsidRPr="003E3DFC">
        <w:rPr>
          <w:lang w:val="en-GB"/>
        </w:rPr>
        <w:t xml:space="preserve"> is the only country with increasing trends throughout the period 2008-2013, while all other countries have had an </w:t>
      </w:r>
      <w:r w:rsidRPr="003E3DFC">
        <w:rPr>
          <w:lang w:val="en-GB"/>
        </w:rPr>
        <w:lastRenderedPageBreak/>
        <w:t xml:space="preserve">interruption in their positive trends following 2010; registering decreasing number in both 2011, 2012, and 2013. </w:t>
      </w:r>
    </w:p>
    <w:p w14:paraId="2424ECE3" w14:textId="77777777" w:rsidR="006303F6" w:rsidRPr="003E3DFC" w:rsidRDefault="006303F6" w:rsidP="006303F6">
      <w:pPr>
        <w:pStyle w:val="NoSpacing"/>
        <w:rPr>
          <w:lang w:val="en-GB"/>
        </w:rPr>
      </w:pPr>
    </w:p>
    <w:p w14:paraId="37A07D15" w14:textId="2B985475" w:rsidR="00976DE2" w:rsidRPr="003E3DFC" w:rsidRDefault="00976DE2" w:rsidP="00976DE2">
      <w:pPr>
        <w:pStyle w:val="Caption"/>
        <w:rPr>
          <w:i w:val="0"/>
          <w:color w:val="auto"/>
          <w:sz w:val="24"/>
        </w:rPr>
      </w:pPr>
      <w:r w:rsidRPr="003E3DFC">
        <w:rPr>
          <w:i w:val="0"/>
          <w:color w:val="auto"/>
          <w:sz w:val="24"/>
        </w:rPr>
        <w:t xml:space="preserve">Table </w:t>
      </w:r>
      <w:r w:rsidRPr="003E3DFC">
        <w:rPr>
          <w:i w:val="0"/>
          <w:color w:val="auto"/>
          <w:sz w:val="24"/>
        </w:rPr>
        <w:fldChar w:fldCharType="begin"/>
      </w:r>
      <w:r w:rsidRPr="003E3DFC">
        <w:rPr>
          <w:i w:val="0"/>
          <w:color w:val="auto"/>
          <w:sz w:val="24"/>
        </w:rPr>
        <w:instrText xml:space="preserve"> SEQ Table \* ARABIC </w:instrText>
      </w:r>
      <w:r w:rsidRPr="003E3DFC">
        <w:rPr>
          <w:i w:val="0"/>
          <w:color w:val="auto"/>
          <w:sz w:val="24"/>
        </w:rPr>
        <w:fldChar w:fldCharType="separate"/>
      </w:r>
      <w:r w:rsidR="00F625BB" w:rsidRPr="003E3DFC">
        <w:rPr>
          <w:i w:val="0"/>
          <w:noProof/>
          <w:color w:val="auto"/>
          <w:sz w:val="24"/>
        </w:rPr>
        <w:t>5</w:t>
      </w:r>
      <w:r w:rsidRPr="003E3DFC">
        <w:rPr>
          <w:i w:val="0"/>
          <w:color w:val="auto"/>
          <w:sz w:val="24"/>
        </w:rPr>
        <w:fldChar w:fldCharType="end"/>
      </w:r>
      <w:r w:rsidRPr="003E3DFC">
        <w:rPr>
          <w:i w:val="0"/>
          <w:color w:val="auto"/>
          <w:sz w:val="24"/>
        </w:rPr>
        <w:t xml:space="preserve">: Female </w:t>
      </w:r>
      <w:r w:rsidR="003F1A12" w:rsidRPr="003E3DFC">
        <w:rPr>
          <w:i w:val="0"/>
          <w:color w:val="auto"/>
          <w:sz w:val="24"/>
        </w:rPr>
        <w:t>s</w:t>
      </w:r>
      <w:r w:rsidRPr="003E3DFC">
        <w:rPr>
          <w:i w:val="0"/>
          <w:color w:val="auto"/>
          <w:sz w:val="24"/>
        </w:rPr>
        <w:t>elf-employment in select</w:t>
      </w:r>
      <w:r w:rsidR="00A80198" w:rsidRPr="003E3DFC">
        <w:rPr>
          <w:i w:val="0"/>
          <w:color w:val="auto"/>
          <w:sz w:val="24"/>
        </w:rPr>
        <w:t>ed</w:t>
      </w:r>
      <w:r w:rsidRPr="003E3DFC">
        <w:rPr>
          <w:i w:val="0"/>
          <w:color w:val="auto"/>
          <w:sz w:val="24"/>
        </w:rPr>
        <w:t xml:space="preserve"> Balkan countries from 2008 - 2013 (</w:t>
      </w:r>
      <w:r w:rsidR="00A80198" w:rsidRPr="003E3DFC">
        <w:rPr>
          <w:i w:val="0"/>
          <w:color w:val="auto"/>
          <w:sz w:val="24"/>
        </w:rPr>
        <w:t>in t</w:t>
      </w:r>
      <w:r w:rsidRPr="003E3DFC">
        <w:rPr>
          <w:i w:val="0"/>
          <w:color w:val="auto"/>
          <w:sz w:val="24"/>
        </w:rPr>
        <w:t>housands)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74"/>
        <w:gridCol w:w="1063"/>
        <w:gridCol w:w="1061"/>
        <w:gridCol w:w="1061"/>
        <w:gridCol w:w="1061"/>
        <w:gridCol w:w="1061"/>
        <w:gridCol w:w="1059"/>
      </w:tblGrid>
      <w:tr w:rsidR="00976DE2" w:rsidRPr="003E3DFC" w14:paraId="65D58A53" w14:textId="77777777" w:rsidTr="0066613D">
        <w:trPr>
          <w:trHeight w:val="285"/>
        </w:trPr>
        <w:tc>
          <w:tcPr>
            <w:tcW w:w="1592" w:type="pct"/>
            <w:shd w:val="clear" w:color="auto" w:fill="auto"/>
            <w:tcMar>
              <w:top w:w="15" w:type="dxa"/>
              <w:left w:w="108" w:type="dxa"/>
              <w:bottom w:w="0" w:type="dxa"/>
              <w:right w:w="108" w:type="dxa"/>
            </w:tcMar>
            <w:vAlign w:val="center"/>
            <w:hideMark/>
          </w:tcPr>
          <w:p w14:paraId="22EB6672" w14:textId="77777777" w:rsidR="00976DE2" w:rsidRPr="003E3DFC" w:rsidRDefault="00976DE2" w:rsidP="00976DE2">
            <w:pPr>
              <w:pStyle w:val="NoSpacing"/>
              <w:rPr>
                <w:b/>
                <w:lang w:val="en-GB"/>
              </w:rPr>
            </w:pPr>
            <w:r w:rsidRPr="003E3DFC">
              <w:rPr>
                <w:b/>
                <w:lang w:val="en-GB"/>
              </w:rPr>
              <w:t>Country/Year</w:t>
            </w:r>
          </w:p>
        </w:tc>
        <w:tc>
          <w:tcPr>
            <w:tcW w:w="569" w:type="pct"/>
            <w:shd w:val="clear" w:color="auto" w:fill="auto"/>
            <w:tcMar>
              <w:top w:w="15" w:type="dxa"/>
              <w:left w:w="108" w:type="dxa"/>
              <w:bottom w:w="0" w:type="dxa"/>
              <w:right w:w="108" w:type="dxa"/>
            </w:tcMar>
            <w:vAlign w:val="center"/>
            <w:hideMark/>
          </w:tcPr>
          <w:p w14:paraId="3BC5F8C2" w14:textId="77777777" w:rsidR="00976DE2" w:rsidRPr="003E3DFC" w:rsidRDefault="00976DE2" w:rsidP="00976DE2">
            <w:pPr>
              <w:pStyle w:val="NoSpacing"/>
              <w:jc w:val="center"/>
              <w:rPr>
                <w:b/>
                <w:lang w:val="en-GB"/>
              </w:rPr>
            </w:pPr>
            <w:r w:rsidRPr="003E3DFC">
              <w:rPr>
                <w:b/>
                <w:lang w:val="en-GB"/>
              </w:rPr>
              <w:t>2008</w:t>
            </w:r>
          </w:p>
        </w:tc>
        <w:tc>
          <w:tcPr>
            <w:tcW w:w="568" w:type="pct"/>
            <w:shd w:val="clear" w:color="auto" w:fill="auto"/>
            <w:tcMar>
              <w:top w:w="15" w:type="dxa"/>
              <w:left w:w="108" w:type="dxa"/>
              <w:bottom w:w="0" w:type="dxa"/>
              <w:right w:w="108" w:type="dxa"/>
            </w:tcMar>
            <w:vAlign w:val="center"/>
            <w:hideMark/>
          </w:tcPr>
          <w:p w14:paraId="34E5000C" w14:textId="77777777" w:rsidR="00976DE2" w:rsidRPr="003E3DFC" w:rsidRDefault="00976DE2" w:rsidP="00976DE2">
            <w:pPr>
              <w:pStyle w:val="NoSpacing"/>
              <w:jc w:val="center"/>
              <w:rPr>
                <w:b/>
                <w:lang w:val="en-GB"/>
              </w:rPr>
            </w:pPr>
            <w:r w:rsidRPr="003E3DFC">
              <w:rPr>
                <w:b/>
                <w:lang w:val="en-GB"/>
              </w:rPr>
              <w:t>2009</w:t>
            </w:r>
          </w:p>
        </w:tc>
        <w:tc>
          <w:tcPr>
            <w:tcW w:w="568" w:type="pct"/>
            <w:shd w:val="clear" w:color="auto" w:fill="auto"/>
            <w:tcMar>
              <w:top w:w="15" w:type="dxa"/>
              <w:left w:w="108" w:type="dxa"/>
              <w:bottom w:w="0" w:type="dxa"/>
              <w:right w:w="108" w:type="dxa"/>
            </w:tcMar>
            <w:vAlign w:val="center"/>
            <w:hideMark/>
          </w:tcPr>
          <w:p w14:paraId="503F9078" w14:textId="77777777" w:rsidR="00976DE2" w:rsidRPr="003E3DFC" w:rsidRDefault="00976DE2" w:rsidP="00976DE2">
            <w:pPr>
              <w:pStyle w:val="NoSpacing"/>
              <w:jc w:val="center"/>
              <w:rPr>
                <w:b/>
                <w:lang w:val="en-GB"/>
              </w:rPr>
            </w:pPr>
            <w:r w:rsidRPr="003E3DFC">
              <w:rPr>
                <w:b/>
                <w:lang w:val="en-GB"/>
              </w:rPr>
              <w:t>2010</w:t>
            </w:r>
          </w:p>
        </w:tc>
        <w:tc>
          <w:tcPr>
            <w:tcW w:w="568" w:type="pct"/>
            <w:shd w:val="clear" w:color="auto" w:fill="auto"/>
            <w:tcMar>
              <w:top w:w="15" w:type="dxa"/>
              <w:left w:w="108" w:type="dxa"/>
              <w:bottom w:w="0" w:type="dxa"/>
              <w:right w:w="108" w:type="dxa"/>
            </w:tcMar>
            <w:vAlign w:val="center"/>
            <w:hideMark/>
          </w:tcPr>
          <w:p w14:paraId="319629B4" w14:textId="77777777" w:rsidR="00976DE2" w:rsidRPr="003E3DFC" w:rsidRDefault="00976DE2" w:rsidP="00976DE2">
            <w:pPr>
              <w:pStyle w:val="NoSpacing"/>
              <w:jc w:val="center"/>
              <w:rPr>
                <w:b/>
                <w:lang w:val="en-GB"/>
              </w:rPr>
            </w:pPr>
            <w:r w:rsidRPr="003E3DFC">
              <w:rPr>
                <w:b/>
                <w:lang w:val="en-GB"/>
              </w:rPr>
              <w:t>2011</w:t>
            </w:r>
          </w:p>
        </w:tc>
        <w:tc>
          <w:tcPr>
            <w:tcW w:w="568" w:type="pct"/>
            <w:shd w:val="clear" w:color="auto" w:fill="auto"/>
            <w:tcMar>
              <w:top w:w="15" w:type="dxa"/>
              <w:left w:w="108" w:type="dxa"/>
              <w:bottom w:w="0" w:type="dxa"/>
              <w:right w:w="108" w:type="dxa"/>
            </w:tcMar>
            <w:vAlign w:val="center"/>
            <w:hideMark/>
          </w:tcPr>
          <w:p w14:paraId="68CABD9F" w14:textId="77777777" w:rsidR="00976DE2" w:rsidRPr="003E3DFC" w:rsidRDefault="00976DE2" w:rsidP="00976DE2">
            <w:pPr>
              <w:pStyle w:val="NoSpacing"/>
              <w:jc w:val="center"/>
              <w:rPr>
                <w:b/>
                <w:lang w:val="en-GB"/>
              </w:rPr>
            </w:pPr>
            <w:r w:rsidRPr="003E3DFC">
              <w:rPr>
                <w:b/>
                <w:lang w:val="en-GB"/>
              </w:rPr>
              <w:t>2012</w:t>
            </w:r>
          </w:p>
        </w:tc>
        <w:tc>
          <w:tcPr>
            <w:tcW w:w="568" w:type="pct"/>
            <w:shd w:val="clear" w:color="auto" w:fill="auto"/>
            <w:tcMar>
              <w:top w:w="15" w:type="dxa"/>
              <w:left w:w="108" w:type="dxa"/>
              <w:bottom w:w="0" w:type="dxa"/>
              <w:right w:w="108" w:type="dxa"/>
            </w:tcMar>
            <w:vAlign w:val="center"/>
            <w:hideMark/>
          </w:tcPr>
          <w:p w14:paraId="44D977CB" w14:textId="77777777" w:rsidR="00976DE2" w:rsidRPr="003E3DFC" w:rsidRDefault="00976DE2" w:rsidP="00976DE2">
            <w:pPr>
              <w:pStyle w:val="NoSpacing"/>
              <w:jc w:val="center"/>
              <w:rPr>
                <w:b/>
                <w:lang w:val="en-GB"/>
              </w:rPr>
            </w:pPr>
            <w:r w:rsidRPr="003E3DFC">
              <w:rPr>
                <w:b/>
                <w:lang w:val="en-GB"/>
              </w:rPr>
              <w:t>2013</w:t>
            </w:r>
          </w:p>
        </w:tc>
      </w:tr>
      <w:tr w:rsidR="00976DE2" w:rsidRPr="003E3DFC" w14:paraId="5B21E4A0" w14:textId="77777777" w:rsidTr="0066613D">
        <w:trPr>
          <w:trHeight w:val="285"/>
        </w:trPr>
        <w:tc>
          <w:tcPr>
            <w:tcW w:w="1592" w:type="pct"/>
            <w:shd w:val="clear" w:color="auto" w:fill="auto"/>
            <w:tcMar>
              <w:top w:w="15" w:type="dxa"/>
              <w:left w:w="108" w:type="dxa"/>
              <w:bottom w:w="0" w:type="dxa"/>
              <w:right w:w="108" w:type="dxa"/>
            </w:tcMar>
            <w:vAlign w:val="center"/>
            <w:hideMark/>
          </w:tcPr>
          <w:p w14:paraId="4C287B5A" w14:textId="77777777" w:rsidR="00976DE2" w:rsidRPr="003E3DFC" w:rsidRDefault="00976DE2" w:rsidP="00976DE2">
            <w:pPr>
              <w:pStyle w:val="NoSpacing"/>
              <w:jc w:val="left"/>
              <w:rPr>
                <w:b/>
                <w:lang w:val="en-GB"/>
              </w:rPr>
            </w:pPr>
            <w:r w:rsidRPr="003E3DFC">
              <w:rPr>
                <w:b/>
                <w:lang w:val="en-GB"/>
              </w:rPr>
              <w:t>Bulgaria</w:t>
            </w:r>
          </w:p>
        </w:tc>
        <w:tc>
          <w:tcPr>
            <w:tcW w:w="569" w:type="pct"/>
            <w:shd w:val="clear" w:color="auto" w:fill="auto"/>
            <w:tcMar>
              <w:top w:w="15" w:type="dxa"/>
              <w:left w:w="108" w:type="dxa"/>
              <w:bottom w:w="0" w:type="dxa"/>
              <w:right w:w="108" w:type="dxa"/>
            </w:tcMar>
            <w:vAlign w:val="center"/>
            <w:hideMark/>
          </w:tcPr>
          <w:p w14:paraId="4811066F" w14:textId="77777777" w:rsidR="00976DE2" w:rsidRPr="003E3DFC" w:rsidRDefault="00976DE2" w:rsidP="00976DE2">
            <w:pPr>
              <w:pStyle w:val="NoSpacing"/>
              <w:jc w:val="center"/>
              <w:rPr>
                <w:lang w:val="en-GB"/>
              </w:rPr>
            </w:pPr>
            <w:r w:rsidRPr="003E3DFC">
              <w:rPr>
                <w:lang w:val="en-GB"/>
              </w:rPr>
              <w:t>124.3</w:t>
            </w:r>
          </w:p>
        </w:tc>
        <w:tc>
          <w:tcPr>
            <w:tcW w:w="568" w:type="pct"/>
            <w:shd w:val="clear" w:color="auto" w:fill="auto"/>
            <w:tcMar>
              <w:top w:w="15" w:type="dxa"/>
              <w:left w:w="108" w:type="dxa"/>
              <w:bottom w:w="0" w:type="dxa"/>
              <w:right w:w="108" w:type="dxa"/>
            </w:tcMar>
            <w:vAlign w:val="center"/>
            <w:hideMark/>
          </w:tcPr>
          <w:p w14:paraId="5030A8E4" w14:textId="77777777" w:rsidR="00976DE2" w:rsidRPr="003E3DFC" w:rsidRDefault="00976DE2" w:rsidP="00976DE2">
            <w:pPr>
              <w:pStyle w:val="NoSpacing"/>
              <w:jc w:val="center"/>
              <w:rPr>
                <w:lang w:val="en-GB"/>
              </w:rPr>
            </w:pPr>
            <w:r w:rsidRPr="003E3DFC">
              <w:rPr>
                <w:lang w:val="en-GB"/>
              </w:rPr>
              <w:t>121.2</w:t>
            </w:r>
          </w:p>
        </w:tc>
        <w:tc>
          <w:tcPr>
            <w:tcW w:w="568" w:type="pct"/>
            <w:shd w:val="clear" w:color="auto" w:fill="auto"/>
            <w:tcMar>
              <w:top w:w="15" w:type="dxa"/>
              <w:left w:w="108" w:type="dxa"/>
              <w:bottom w:w="0" w:type="dxa"/>
              <w:right w:w="108" w:type="dxa"/>
            </w:tcMar>
            <w:vAlign w:val="center"/>
            <w:hideMark/>
          </w:tcPr>
          <w:p w14:paraId="75CC0120" w14:textId="77777777" w:rsidR="00976DE2" w:rsidRPr="003E3DFC" w:rsidRDefault="00976DE2" w:rsidP="00976DE2">
            <w:pPr>
              <w:pStyle w:val="NoSpacing"/>
              <w:jc w:val="center"/>
              <w:rPr>
                <w:lang w:val="en-GB"/>
              </w:rPr>
            </w:pPr>
            <w:r w:rsidRPr="003E3DFC">
              <w:rPr>
                <w:lang w:val="en-GB"/>
              </w:rPr>
              <w:t>124.9</w:t>
            </w:r>
          </w:p>
        </w:tc>
        <w:tc>
          <w:tcPr>
            <w:tcW w:w="568" w:type="pct"/>
            <w:shd w:val="clear" w:color="auto" w:fill="auto"/>
            <w:tcMar>
              <w:top w:w="15" w:type="dxa"/>
              <w:left w:w="108" w:type="dxa"/>
              <w:bottom w:w="0" w:type="dxa"/>
              <w:right w:w="108" w:type="dxa"/>
            </w:tcMar>
            <w:vAlign w:val="center"/>
            <w:hideMark/>
          </w:tcPr>
          <w:p w14:paraId="2E5421B6" w14:textId="77777777" w:rsidR="00976DE2" w:rsidRPr="003E3DFC" w:rsidRDefault="00976DE2" w:rsidP="00976DE2">
            <w:pPr>
              <w:pStyle w:val="NoSpacing"/>
              <w:jc w:val="center"/>
              <w:rPr>
                <w:lang w:val="en-GB"/>
              </w:rPr>
            </w:pPr>
            <w:r w:rsidRPr="003E3DFC">
              <w:rPr>
                <w:lang w:val="en-GB"/>
              </w:rPr>
              <w:t>110.3</w:t>
            </w:r>
          </w:p>
        </w:tc>
        <w:tc>
          <w:tcPr>
            <w:tcW w:w="568" w:type="pct"/>
            <w:shd w:val="clear" w:color="auto" w:fill="auto"/>
            <w:tcMar>
              <w:top w:w="15" w:type="dxa"/>
              <w:left w:w="108" w:type="dxa"/>
              <w:bottom w:w="0" w:type="dxa"/>
              <w:right w:w="108" w:type="dxa"/>
            </w:tcMar>
            <w:vAlign w:val="center"/>
            <w:hideMark/>
          </w:tcPr>
          <w:p w14:paraId="6C9E0AF9" w14:textId="77777777" w:rsidR="00976DE2" w:rsidRPr="003E3DFC" w:rsidRDefault="00976DE2" w:rsidP="00976DE2">
            <w:pPr>
              <w:pStyle w:val="NoSpacing"/>
              <w:jc w:val="center"/>
              <w:rPr>
                <w:lang w:val="en-GB"/>
              </w:rPr>
            </w:pPr>
            <w:r w:rsidRPr="003E3DFC">
              <w:rPr>
                <w:lang w:val="en-GB"/>
              </w:rPr>
              <w:t>103.2</w:t>
            </w:r>
          </w:p>
        </w:tc>
        <w:tc>
          <w:tcPr>
            <w:tcW w:w="568" w:type="pct"/>
            <w:shd w:val="clear" w:color="auto" w:fill="auto"/>
            <w:tcMar>
              <w:top w:w="15" w:type="dxa"/>
              <w:left w:w="108" w:type="dxa"/>
              <w:bottom w:w="0" w:type="dxa"/>
              <w:right w:w="108" w:type="dxa"/>
            </w:tcMar>
            <w:vAlign w:val="center"/>
            <w:hideMark/>
          </w:tcPr>
          <w:p w14:paraId="0617D3B8" w14:textId="77777777" w:rsidR="00976DE2" w:rsidRPr="003E3DFC" w:rsidRDefault="00976DE2" w:rsidP="00976DE2">
            <w:pPr>
              <w:pStyle w:val="NoSpacing"/>
              <w:jc w:val="center"/>
              <w:rPr>
                <w:lang w:val="en-GB"/>
              </w:rPr>
            </w:pPr>
            <w:r w:rsidRPr="003E3DFC">
              <w:rPr>
                <w:lang w:val="en-GB"/>
              </w:rPr>
              <w:t>109.2</w:t>
            </w:r>
          </w:p>
        </w:tc>
      </w:tr>
      <w:tr w:rsidR="00976DE2" w:rsidRPr="003E3DFC" w14:paraId="440AF452" w14:textId="77777777" w:rsidTr="0066613D">
        <w:trPr>
          <w:trHeight w:val="285"/>
        </w:trPr>
        <w:tc>
          <w:tcPr>
            <w:tcW w:w="1592" w:type="pct"/>
            <w:shd w:val="clear" w:color="auto" w:fill="auto"/>
            <w:tcMar>
              <w:top w:w="15" w:type="dxa"/>
              <w:left w:w="108" w:type="dxa"/>
              <w:bottom w:w="0" w:type="dxa"/>
              <w:right w:w="108" w:type="dxa"/>
            </w:tcMar>
            <w:vAlign w:val="center"/>
            <w:hideMark/>
          </w:tcPr>
          <w:p w14:paraId="3E4CC377" w14:textId="77777777" w:rsidR="00976DE2" w:rsidRPr="003E3DFC" w:rsidRDefault="00976DE2" w:rsidP="00976DE2">
            <w:pPr>
              <w:pStyle w:val="NoSpacing"/>
              <w:jc w:val="left"/>
              <w:rPr>
                <w:b/>
                <w:lang w:val="en-GB"/>
              </w:rPr>
            </w:pPr>
            <w:r w:rsidRPr="003E3DFC">
              <w:rPr>
                <w:b/>
                <w:lang w:val="en-GB"/>
              </w:rPr>
              <w:t>Greece</w:t>
            </w:r>
          </w:p>
        </w:tc>
        <w:tc>
          <w:tcPr>
            <w:tcW w:w="569" w:type="pct"/>
            <w:shd w:val="clear" w:color="auto" w:fill="auto"/>
            <w:tcMar>
              <w:top w:w="15" w:type="dxa"/>
              <w:left w:w="108" w:type="dxa"/>
              <w:bottom w:w="0" w:type="dxa"/>
              <w:right w:w="108" w:type="dxa"/>
            </w:tcMar>
            <w:vAlign w:val="center"/>
            <w:hideMark/>
          </w:tcPr>
          <w:p w14:paraId="21F370F1" w14:textId="77777777" w:rsidR="00976DE2" w:rsidRPr="003E3DFC" w:rsidRDefault="00976DE2" w:rsidP="00976DE2">
            <w:pPr>
              <w:pStyle w:val="NoSpacing"/>
              <w:jc w:val="center"/>
              <w:rPr>
                <w:lang w:val="en-GB"/>
              </w:rPr>
            </w:pPr>
            <w:r w:rsidRPr="003E3DFC">
              <w:rPr>
                <w:lang w:val="en-GB"/>
              </w:rPr>
              <w:t>370.9</w:t>
            </w:r>
          </w:p>
        </w:tc>
        <w:tc>
          <w:tcPr>
            <w:tcW w:w="568" w:type="pct"/>
            <w:shd w:val="clear" w:color="auto" w:fill="auto"/>
            <w:tcMar>
              <w:top w:w="15" w:type="dxa"/>
              <w:left w:w="108" w:type="dxa"/>
              <w:bottom w:w="0" w:type="dxa"/>
              <w:right w:w="108" w:type="dxa"/>
            </w:tcMar>
            <w:vAlign w:val="center"/>
            <w:hideMark/>
          </w:tcPr>
          <w:p w14:paraId="134096AF" w14:textId="77777777" w:rsidR="00976DE2" w:rsidRPr="003E3DFC" w:rsidRDefault="00976DE2" w:rsidP="00976DE2">
            <w:pPr>
              <w:pStyle w:val="NoSpacing"/>
              <w:jc w:val="center"/>
              <w:rPr>
                <w:lang w:val="en-GB"/>
              </w:rPr>
            </w:pPr>
            <w:r w:rsidRPr="003E3DFC">
              <w:rPr>
                <w:lang w:val="en-GB"/>
              </w:rPr>
              <w:t>371.7</w:t>
            </w:r>
          </w:p>
        </w:tc>
        <w:tc>
          <w:tcPr>
            <w:tcW w:w="568" w:type="pct"/>
            <w:shd w:val="clear" w:color="auto" w:fill="auto"/>
            <w:tcMar>
              <w:top w:w="15" w:type="dxa"/>
              <w:left w:w="108" w:type="dxa"/>
              <w:bottom w:w="0" w:type="dxa"/>
              <w:right w:w="108" w:type="dxa"/>
            </w:tcMar>
            <w:vAlign w:val="center"/>
            <w:hideMark/>
          </w:tcPr>
          <w:p w14:paraId="2FE175D7" w14:textId="77777777" w:rsidR="00976DE2" w:rsidRPr="003E3DFC" w:rsidRDefault="00976DE2" w:rsidP="00976DE2">
            <w:pPr>
              <w:pStyle w:val="NoSpacing"/>
              <w:jc w:val="center"/>
              <w:rPr>
                <w:lang w:val="en-GB"/>
              </w:rPr>
            </w:pPr>
            <w:r w:rsidRPr="003E3DFC">
              <w:rPr>
                <w:lang w:val="en-GB"/>
              </w:rPr>
              <w:t>379.4</w:t>
            </w:r>
          </w:p>
        </w:tc>
        <w:tc>
          <w:tcPr>
            <w:tcW w:w="568" w:type="pct"/>
            <w:shd w:val="clear" w:color="auto" w:fill="auto"/>
            <w:tcMar>
              <w:top w:w="15" w:type="dxa"/>
              <w:left w:w="108" w:type="dxa"/>
              <w:bottom w:w="0" w:type="dxa"/>
              <w:right w:w="108" w:type="dxa"/>
            </w:tcMar>
            <w:vAlign w:val="center"/>
            <w:hideMark/>
          </w:tcPr>
          <w:p w14:paraId="777290C5" w14:textId="77777777" w:rsidR="00976DE2" w:rsidRPr="003E3DFC" w:rsidRDefault="00976DE2" w:rsidP="00976DE2">
            <w:pPr>
              <w:pStyle w:val="NoSpacing"/>
              <w:jc w:val="center"/>
              <w:rPr>
                <w:lang w:val="en-GB"/>
              </w:rPr>
            </w:pPr>
            <w:r w:rsidRPr="003E3DFC">
              <w:rPr>
                <w:lang w:val="en-GB"/>
              </w:rPr>
              <w:t>368.1</w:t>
            </w:r>
          </w:p>
        </w:tc>
        <w:tc>
          <w:tcPr>
            <w:tcW w:w="568" w:type="pct"/>
            <w:shd w:val="clear" w:color="auto" w:fill="auto"/>
            <w:tcMar>
              <w:top w:w="15" w:type="dxa"/>
              <w:left w:w="108" w:type="dxa"/>
              <w:bottom w:w="0" w:type="dxa"/>
              <w:right w:w="108" w:type="dxa"/>
            </w:tcMar>
            <w:vAlign w:val="center"/>
            <w:hideMark/>
          </w:tcPr>
          <w:p w14:paraId="0128C357" w14:textId="77777777" w:rsidR="00976DE2" w:rsidRPr="003E3DFC" w:rsidRDefault="00976DE2" w:rsidP="00976DE2">
            <w:pPr>
              <w:pStyle w:val="NoSpacing"/>
              <w:jc w:val="center"/>
              <w:rPr>
                <w:lang w:val="en-GB"/>
              </w:rPr>
            </w:pPr>
            <w:r w:rsidRPr="003E3DFC">
              <w:rPr>
                <w:lang w:val="en-GB"/>
              </w:rPr>
              <w:t>351.8</w:t>
            </w:r>
          </w:p>
        </w:tc>
        <w:tc>
          <w:tcPr>
            <w:tcW w:w="568" w:type="pct"/>
            <w:shd w:val="clear" w:color="auto" w:fill="auto"/>
            <w:tcMar>
              <w:top w:w="15" w:type="dxa"/>
              <w:left w:w="108" w:type="dxa"/>
              <w:bottom w:w="0" w:type="dxa"/>
              <w:right w:w="108" w:type="dxa"/>
            </w:tcMar>
            <w:vAlign w:val="center"/>
            <w:hideMark/>
          </w:tcPr>
          <w:p w14:paraId="13DA9821" w14:textId="77777777" w:rsidR="00976DE2" w:rsidRPr="003E3DFC" w:rsidRDefault="00976DE2" w:rsidP="00976DE2">
            <w:pPr>
              <w:pStyle w:val="NoSpacing"/>
              <w:jc w:val="center"/>
              <w:rPr>
                <w:lang w:val="en-GB"/>
              </w:rPr>
            </w:pPr>
            <w:r w:rsidRPr="003E3DFC">
              <w:rPr>
                <w:lang w:val="en-GB"/>
              </w:rPr>
              <w:t>341.9</w:t>
            </w:r>
          </w:p>
        </w:tc>
      </w:tr>
      <w:tr w:rsidR="00976DE2" w:rsidRPr="003E3DFC" w14:paraId="504F9BF3" w14:textId="77777777" w:rsidTr="0066613D">
        <w:trPr>
          <w:trHeight w:val="285"/>
        </w:trPr>
        <w:tc>
          <w:tcPr>
            <w:tcW w:w="1592" w:type="pct"/>
            <w:shd w:val="clear" w:color="auto" w:fill="auto"/>
            <w:tcMar>
              <w:top w:w="15" w:type="dxa"/>
              <w:left w:w="108" w:type="dxa"/>
              <w:bottom w:w="0" w:type="dxa"/>
              <w:right w:w="108" w:type="dxa"/>
            </w:tcMar>
            <w:vAlign w:val="center"/>
            <w:hideMark/>
          </w:tcPr>
          <w:p w14:paraId="734BB3F5" w14:textId="77777777" w:rsidR="00976DE2" w:rsidRPr="003E3DFC" w:rsidRDefault="00976DE2" w:rsidP="00976DE2">
            <w:pPr>
              <w:pStyle w:val="NoSpacing"/>
              <w:jc w:val="left"/>
              <w:rPr>
                <w:b/>
                <w:lang w:val="en-GB"/>
              </w:rPr>
            </w:pPr>
            <w:r w:rsidRPr="003E3DFC">
              <w:rPr>
                <w:b/>
                <w:lang w:val="en-GB"/>
              </w:rPr>
              <w:t>Croatia</w:t>
            </w:r>
          </w:p>
        </w:tc>
        <w:tc>
          <w:tcPr>
            <w:tcW w:w="569" w:type="pct"/>
            <w:shd w:val="clear" w:color="auto" w:fill="auto"/>
            <w:tcMar>
              <w:top w:w="15" w:type="dxa"/>
              <w:left w:w="108" w:type="dxa"/>
              <w:bottom w:w="0" w:type="dxa"/>
              <w:right w:w="108" w:type="dxa"/>
            </w:tcMar>
            <w:vAlign w:val="center"/>
            <w:hideMark/>
          </w:tcPr>
          <w:p w14:paraId="3A43AF25" w14:textId="77777777" w:rsidR="00976DE2" w:rsidRPr="003E3DFC" w:rsidRDefault="00976DE2" w:rsidP="00976DE2">
            <w:pPr>
              <w:pStyle w:val="NoSpacing"/>
              <w:jc w:val="center"/>
              <w:rPr>
                <w:lang w:val="en-GB"/>
              </w:rPr>
            </w:pPr>
            <w:r w:rsidRPr="003E3DFC">
              <w:rPr>
                <w:lang w:val="en-GB"/>
              </w:rPr>
              <w:t>104.0</w:t>
            </w:r>
          </w:p>
        </w:tc>
        <w:tc>
          <w:tcPr>
            <w:tcW w:w="568" w:type="pct"/>
            <w:shd w:val="clear" w:color="auto" w:fill="auto"/>
            <w:tcMar>
              <w:top w:w="15" w:type="dxa"/>
              <w:left w:w="108" w:type="dxa"/>
              <w:bottom w:w="0" w:type="dxa"/>
              <w:right w:w="108" w:type="dxa"/>
            </w:tcMar>
            <w:vAlign w:val="center"/>
            <w:hideMark/>
          </w:tcPr>
          <w:p w14:paraId="51A30312" w14:textId="77777777" w:rsidR="00976DE2" w:rsidRPr="003E3DFC" w:rsidRDefault="00976DE2" w:rsidP="00976DE2">
            <w:pPr>
              <w:pStyle w:val="NoSpacing"/>
              <w:jc w:val="center"/>
              <w:rPr>
                <w:lang w:val="en-GB"/>
              </w:rPr>
            </w:pPr>
            <w:r w:rsidRPr="003E3DFC">
              <w:rPr>
                <w:lang w:val="en-GB"/>
              </w:rPr>
              <w:t>104.4</w:t>
            </w:r>
          </w:p>
        </w:tc>
        <w:tc>
          <w:tcPr>
            <w:tcW w:w="568" w:type="pct"/>
            <w:shd w:val="clear" w:color="auto" w:fill="auto"/>
            <w:tcMar>
              <w:top w:w="15" w:type="dxa"/>
              <w:left w:w="108" w:type="dxa"/>
              <w:bottom w:w="0" w:type="dxa"/>
              <w:right w:w="108" w:type="dxa"/>
            </w:tcMar>
            <w:vAlign w:val="center"/>
            <w:hideMark/>
          </w:tcPr>
          <w:p w14:paraId="75B9A134" w14:textId="77777777" w:rsidR="00976DE2" w:rsidRPr="003E3DFC" w:rsidRDefault="00976DE2" w:rsidP="00976DE2">
            <w:pPr>
              <w:pStyle w:val="NoSpacing"/>
              <w:jc w:val="center"/>
              <w:rPr>
                <w:lang w:val="en-GB"/>
              </w:rPr>
            </w:pPr>
            <w:r w:rsidRPr="003E3DFC">
              <w:rPr>
                <w:lang w:val="en-GB"/>
              </w:rPr>
              <w:t>115.6</w:t>
            </w:r>
          </w:p>
        </w:tc>
        <w:tc>
          <w:tcPr>
            <w:tcW w:w="568" w:type="pct"/>
            <w:shd w:val="clear" w:color="auto" w:fill="auto"/>
            <w:tcMar>
              <w:top w:w="15" w:type="dxa"/>
              <w:left w:w="108" w:type="dxa"/>
              <w:bottom w:w="0" w:type="dxa"/>
              <w:right w:w="108" w:type="dxa"/>
            </w:tcMar>
            <w:vAlign w:val="center"/>
            <w:hideMark/>
          </w:tcPr>
          <w:p w14:paraId="6D6A35A8" w14:textId="77777777" w:rsidR="00976DE2" w:rsidRPr="003E3DFC" w:rsidRDefault="00976DE2" w:rsidP="00976DE2">
            <w:pPr>
              <w:pStyle w:val="NoSpacing"/>
              <w:jc w:val="center"/>
              <w:rPr>
                <w:lang w:val="en-GB"/>
              </w:rPr>
            </w:pPr>
            <w:r w:rsidRPr="003E3DFC">
              <w:rPr>
                <w:lang w:val="en-GB"/>
              </w:rPr>
              <w:t>106.4</w:t>
            </w:r>
          </w:p>
        </w:tc>
        <w:tc>
          <w:tcPr>
            <w:tcW w:w="568" w:type="pct"/>
            <w:shd w:val="clear" w:color="auto" w:fill="auto"/>
            <w:tcMar>
              <w:top w:w="15" w:type="dxa"/>
              <w:left w:w="108" w:type="dxa"/>
              <w:bottom w:w="0" w:type="dxa"/>
              <w:right w:w="108" w:type="dxa"/>
            </w:tcMar>
            <w:vAlign w:val="center"/>
            <w:hideMark/>
          </w:tcPr>
          <w:p w14:paraId="1E997248" w14:textId="77777777" w:rsidR="00976DE2" w:rsidRPr="003E3DFC" w:rsidRDefault="00976DE2" w:rsidP="00976DE2">
            <w:pPr>
              <w:pStyle w:val="NoSpacing"/>
              <w:jc w:val="center"/>
              <w:rPr>
                <w:lang w:val="en-GB"/>
              </w:rPr>
            </w:pPr>
            <w:r w:rsidRPr="003E3DFC">
              <w:rPr>
                <w:lang w:val="en-GB"/>
              </w:rPr>
              <w:t>90.5</w:t>
            </w:r>
          </w:p>
        </w:tc>
        <w:tc>
          <w:tcPr>
            <w:tcW w:w="568" w:type="pct"/>
            <w:shd w:val="clear" w:color="auto" w:fill="auto"/>
            <w:tcMar>
              <w:top w:w="15" w:type="dxa"/>
              <w:left w:w="108" w:type="dxa"/>
              <w:bottom w:w="0" w:type="dxa"/>
              <w:right w:w="108" w:type="dxa"/>
            </w:tcMar>
            <w:vAlign w:val="center"/>
            <w:hideMark/>
          </w:tcPr>
          <w:p w14:paraId="7FC1FE8E" w14:textId="77777777" w:rsidR="00976DE2" w:rsidRPr="003E3DFC" w:rsidRDefault="00976DE2" w:rsidP="00976DE2">
            <w:pPr>
              <w:pStyle w:val="NoSpacing"/>
              <w:jc w:val="center"/>
              <w:rPr>
                <w:lang w:val="en-GB"/>
              </w:rPr>
            </w:pPr>
            <w:r w:rsidRPr="003E3DFC">
              <w:rPr>
                <w:lang w:val="en-GB"/>
              </w:rPr>
              <w:t>83.4</w:t>
            </w:r>
          </w:p>
        </w:tc>
      </w:tr>
      <w:tr w:rsidR="00976DE2" w:rsidRPr="003E3DFC" w14:paraId="4D850841" w14:textId="77777777" w:rsidTr="0066613D">
        <w:trPr>
          <w:trHeight w:val="285"/>
        </w:trPr>
        <w:tc>
          <w:tcPr>
            <w:tcW w:w="1592" w:type="pct"/>
            <w:shd w:val="clear" w:color="auto" w:fill="auto"/>
            <w:tcMar>
              <w:top w:w="15" w:type="dxa"/>
              <w:left w:w="108" w:type="dxa"/>
              <w:bottom w:w="0" w:type="dxa"/>
              <w:right w:w="108" w:type="dxa"/>
            </w:tcMar>
            <w:vAlign w:val="center"/>
            <w:hideMark/>
          </w:tcPr>
          <w:p w14:paraId="191E979D" w14:textId="77777777" w:rsidR="00976DE2" w:rsidRPr="003E3DFC" w:rsidRDefault="00976DE2" w:rsidP="00976DE2">
            <w:pPr>
              <w:pStyle w:val="NoSpacing"/>
              <w:jc w:val="left"/>
              <w:rPr>
                <w:b/>
                <w:lang w:val="en-GB"/>
              </w:rPr>
            </w:pPr>
            <w:r w:rsidRPr="003E3DFC">
              <w:rPr>
                <w:b/>
                <w:lang w:val="en-GB"/>
              </w:rPr>
              <w:t>Slovenia</w:t>
            </w:r>
          </w:p>
        </w:tc>
        <w:tc>
          <w:tcPr>
            <w:tcW w:w="569" w:type="pct"/>
            <w:shd w:val="clear" w:color="auto" w:fill="auto"/>
            <w:tcMar>
              <w:top w:w="15" w:type="dxa"/>
              <w:left w:w="108" w:type="dxa"/>
              <w:bottom w:w="0" w:type="dxa"/>
              <w:right w:w="108" w:type="dxa"/>
            </w:tcMar>
            <w:vAlign w:val="center"/>
            <w:hideMark/>
          </w:tcPr>
          <w:p w14:paraId="45AB2FD0" w14:textId="77777777" w:rsidR="00976DE2" w:rsidRPr="003E3DFC" w:rsidRDefault="00976DE2" w:rsidP="00976DE2">
            <w:pPr>
              <w:pStyle w:val="NoSpacing"/>
              <w:jc w:val="center"/>
              <w:rPr>
                <w:lang w:val="en-GB"/>
              </w:rPr>
            </w:pPr>
            <w:r w:rsidRPr="003E3DFC">
              <w:rPr>
                <w:lang w:val="en-GB"/>
              </w:rPr>
              <w:t>24.0</w:t>
            </w:r>
          </w:p>
        </w:tc>
        <w:tc>
          <w:tcPr>
            <w:tcW w:w="568" w:type="pct"/>
            <w:shd w:val="clear" w:color="auto" w:fill="auto"/>
            <w:tcMar>
              <w:top w:w="15" w:type="dxa"/>
              <w:left w:w="108" w:type="dxa"/>
              <w:bottom w:w="0" w:type="dxa"/>
              <w:right w:w="108" w:type="dxa"/>
            </w:tcMar>
            <w:vAlign w:val="center"/>
            <w:hideMark/>
          </w:tcPr>
          <w:p w14:paraId="535606DE" w14:textId="77777777" w:rsidR="00976DE2" w:rsidRPr="003E3DFC" w:rsidRDefault="00976DE2" w:rsidP="00976DE2">
            <w:pPr>
              <w:pStyle w:val="NoSpacing"/>
              <w:jc w:val="center"/>
              <w:rPr>
                <w:lang w:val="en-GB"/>
              </w:rPr>
            </w:pPr>
            <w:r w:rsidRPr="003E3DFC">
              <w:rPr>
                <w:lang w:val="en-GB"/>
              </w:rPr>
              <w:t>24.8</w:t>
            </w:r>
          </w:p>
        </w:tc>
        <w:tc>
          <w:tcPr>
            <w:tcW w:w="568" w:type="pct"/>
            <w:shd w:val="clear" w:color="auto" w:fill="auto"/>
            <w:tcMar>
              <w:top w:w="15" w:type="dxa"/>
              <w:left w:w="108" w:type="dxa"/>
              <w:bottom w:w="0" w:type="dxa"/>
              <w:right w:w="108" w:type="dxa"/>
            </w:tcMar>
            <w:vAlign w:val="center"/>
            <w:hideMark/>
          </w:tcPr>
          <w:p w14:paraId="2652575B" w14:textId="77777777" w:rsidR="00976DE2" w:rsidRPr="003E3DFC" w:rsidRDefault="00976DE2" w:rsidP="00976DE2">
            <w:pPr>
              <w:pStyle w:val="NoSpacing"/>
              <w:jc w:val="center"/>
              <w:rPr>
                <w:lang w:val="en-GB"/>
              </w:rPr>
            </w:pPr>
            <w:r w:rsidRPr="003E3DFC">
              <w:rPr>
                <w:lang w:val="en-GB"/>
              </w:rPr>
              <w:t>32.0</w:t>
            </w:r>
          </w:p>
        </w:tc>
        <w:tc>
          <w:tcPr>
            <w:tcW w:w="568" w:type="pct"/>
            <w:shd w:val="clear" w:color="auto" w:fill="auto"/>
            <w:tcMar>
              <w:top w:w="15" w:type="dxa"/>
              <w:left w:w="108" w:type="dxa"/>
              <w:bottom w:w="0" w:type="dxa"/>
              <w:right w:w="108" w:type="dxa"/>
            </w:tcMar>
            <w:vAlign w:val="center"/>
            <w:hideMark/>
          </w:tcPr>
          <w:p w14:paraId="3FEDF654" w14:textId="77777777" w:rsidR="00976DE2" w:rsidRPr="003E3DFC" w:rsidRDefault="00976DE2" w:rsidP="00976DE2">
            <w:pPr>
              <w:pStyle w:val="NoSpacing"/>
              <w:jc w:val="center"/>
              <w:rPr>
                <w:lang w:val="en-GB"/>
              </w:rPr>
            </w:pPr>
            <w:r w:rsidRPr="003E3DFC">
              <w:rPr>
                <w:lang w:val="en-GB"/>
              </w:rPr>
              <w:t>31.8</w:t>
            </w:r>
          </w:p>
        </w:tc>
        <w:tc>
          <w:tcPr>
            <w:tcW w:w="568" w:type="pct"/>
            <w:shd w:val="clear" w:color="auto" w:fill="auto"/>
            <w:tcMar>
              <w:top w:w="15" w:type="dxa"/>
              <w:left w:w="108" w:type="dxa"/>
              <w:bottom w:w="0" w:type="dxa"/>
              <w:right w:w="108" w:type="dxa"/>
            </w:tcMar>
            <w:vAlign w:val="center"/>
            <w:hideMark/>
          </w:tcPr>
          <w:p w14:paraId="270FDE2B" w14:textId="77777777" w:rsidR="00976DE2" w:rsidRPr="003E3DFC" w:rsidRDefault="00976DE2" w:rsidP="00976DE2">
            <w:pPr>
              <w:pStyle w:val="NoSpacing"/>
              <w:jc w:val="center"/>
              <w:rPr>
                <w:lang w:val="en-GB"/>
              </w:rPr>
            </w:pPr>
            <w:r w:rsidRPr="003E3DFC">
              <w:rPr>
                <w:lang w:val="en-GB"/>
              </w:rPr>
              <w:t>30.3</w:t>
            </w:r>
          </w:p>
        </w:tc>
        <w:tc>
          <w:tcPr>
            <w:tcW w:w="568" w:type="pct"/>
            <w:shd w:val="clear" w:color="auto" w:fill="auto"/>
            <w:tcMar>
              <w:top w:w="15" w:type="dxa"/>
              <w:left w:w="108" w:type="dxa"/>
              <w:bottom w:w="0" w:type="dxa"/>
              <w:right w:w="108" w:type="dxa"/>
            </w:tcMar>
            <w:vAlign w:val="center"/>
            <w:hideMark/>
          </w:tcPr>
          <w:p w14:paraId="26CACF72" w14:textId="77777777" w:rsidR="00976DE2" w:rsidRPr="003E3DFC" w:rsidRDefault="00976DE2" w:rsidP="00976DE2">
            <w:pPr>
              <w:pStyle w:val="NoSpacing"/>
              <w:jc w:val="center"/>
              <w:rPr>
                <w:lang w:val="en-GB"/>
              </w:rPr>
            </w:pPr>
            <w:r w:rsidRPr="003E3DFC">
              <w:rPr>
                <w:lang w:val="en-GB"/>
              </w:rPr>
              <w:t>28.9</w:t>
            </w:r>
          </w:p>
        </w:tc>
      </w:tr>
      <w:tr w:rsidR="00976DE2" w:rsidRPr="003E3DFC" w14:paraId="33A01559" w14:textId="77777777" w:rsidTr="0066613D">
        <w:trPr>
          <w:trHeight w:val="285"/>
        </w:trPr>
        <w:tc>
          <w:tcPr>
            <w:tcW w:w="1592" w:type="pct"/>
            <w:shd w:val="clear" w:color="auto" w:fill="auto"/>
            <w:tcMar>
              <w:top w:w="15" w:type="dxa"/>
              <w:left w:w="108" w:type="dxa"/>
              <w:bottom w:w="0" w:type="dxa"/>
              <w:right w:w="108" w:type="dxa"/>
            </w:tcMar>
            <w:vAlign w:val="center"/>
            <w:hideMark/>
          </w:tcPr>
          <w:p w14:paraId="039A762A" w14:textId="77777777" w:rsidR="00976DE2" w:rsidRPr="003E3DFC" w:rsidRDefault="00976DE2" w:rsidP="00976DE2">
            <w:pPr>
              <w:pStyle w:val="NoSpacing"/>
              <w:jc w:val="left"/>
              <w:rPr>
                <w:b/>
                <w:lang w:val="en-GB"/>
              </w:rPr>
            </w:pPr>
            <w:r w:rsidRPr="003E3DFC">
              <w:rPr>
                <w:b/>
                <w:lang w:val="en-GB"/>
              </w:rPr>
              <w:t>Macedonia</w:t>
            </w:r>
          </w:p>
        </w:tc>
        <w:tc>
          <w:tcPr>
            <w:tcW w:w="569" w:type="pct"/>
            <w:shd w:val="clear" w:color="auto" w:fill="auto"/>
            <w:tcMar>
              <w:top w:w="15" w:type="dxa"/>
              <w:left w:w="108" w:type="dxa"/>
              <w:bottom w:w="0" w:type="dxa"/>
              <w:right w:w="108" w:type="dxa"/>
            </w:tcMar>
            <w:vAlign w:val="center"/>
            <w:hideMark/>
          </w:tcPr>
          <w:p w14:paraId="57B3E6D9" w14:textId="77777777" w:rsidR="00976DE2" w:rsidRPr="003E3DFC" w:rsidRDefault="00976DE2" w:rsidP="00976DE2">
            <w:pPr>
              <w:pStyle w:val="NoSpacing"/>
              <w:jc w:val="center"/>
              <w:rPr>
                <w:lang w:val="en-GB"/>
              </w:rPr>
            </w:pPr>
            <w:r w:rsidRPr="003E3DFC">
              <w:rPr>
                <w:lang w:val="en-GB"/>
              </w:rPr>
              <w:t>19.5</w:t>
            </w:r>
          </w:p>
        </w:tc>
        <w:tc>
          <w:tcPr>
            <w:tcW w:w="568" w:type="pct"/>
            <w:shd w:val="clear" w:color="auto" w:fill="auto"/>
            <w:tcMar>
              <w:top w:w="15" w:type="dxa"/>
              <w:left w:w="108" w:type="dxa"/>
              <w:bottom w:w="0" w:type="dxa"/>
              <w:right w:w="108" w:type="dxa"/>
            </w:tcMar>
            <w:vAlign w:val="center"/>
            <w:hideMark/>
          </w:tcPr>
          <w:p w14:paraId="2BABF883" w14:textId="77777777" w:rsidR="00976DE2" w:rsidRPr="003E3DFC" w:rsidRDefault="00976DE2" w:rsidP="00976DE2">
            <w:pPr>
              <w:pStyle w:val="NoSpacing"/>
              <w:jc w:val="center"/>
              <w:rPr>
                <w:lang w:val="en-GB"/>
              </w:rPr>
            </w:pPr>
            <w:r w:rsidRPr="003E3DFC">
              <w:rPr>
                <w:lang w:val="en-GB"/>
              </w:rPr>
              <w:t>17.8</w:t>
            </w:r>
          </w:p>
        </w:tc>
        <w:tc>
          <w:tcPr>
            <w:tcW w:w="568" w:type="pct"/>
            <w:shd w:val="clear" w:color="auto" w:fill="auto"/>
            <w:tcMar>
              <w:top w:w="15" w:type="dxa"/>
              <w:left w:w="108" w:type="dxa"/>
              <w:bottom w:w="0" w:type="dxa"/>
              <w:right w:w="108" w:type="dxa"/>
            </w:tcMar>
            <w:vAlign w:val="center"/>
            <w:hideMark/>
          </w:tcPr>
          <w:p w14:paraId="7F697FB8" w14:textId="77777777" w:rsidR="00976DE2" w:rsidRPr="003E3DFC" w:rsidRDefault="00976DE2" w:rsidP="00976DE2">
            <w:pPr>
              <w:pStyle w:val="NoSpacing"/>
              <w:jc w:val="center"/>
              <w:rPr>
                <w:lang w:val="en-GB"/>
              </w:rPr>
            </w:pPr>
            <w:r w:rsidRPr="003E3DFC">
              <w:rPr>
                <w:lang w:val="en-GB"/>
              </w:rPr>
              <w:t>20.2</w:t>
            </w:r>
          </w:p>
        </w:tc>
        <w:tc>
          <w:tcPr>
            <w:tcW w:w="568" w:type="pct"/>
            <w:shd w:val="clear" w:color="auto" w:fill="auto"/>
            <w:tcMar>
              <w:top w:w="15" w:type="dxa"/>
              <w:left w:w="108" w:type="dxa"/>
              <w:bottom w:w="0" w:type="dxa"/>
              <w:right w:w="108" w:type="dxa"/>
            </w:tcMar>
            <w:vAlign w:val="center"/>
            <w:hideMark/>
          </w:tcPr>
          <w:p w14:paraId="0D55B6A6" w14:textId="77777777" w:rsidR="00976DE2" w:rsidRPr="003E3DFC" w:rsidRDefault="00976DE2" w:rsidP="00976DE2">
            <w:pPr>
              <w:pStyle w:val="NoSpacing"/>
              <w:jc w:val="center"/>
              <w:rPr>
                <w:lang w:val="en-GB"/>
              </w:rPr>
            </w:pPr>
            <w:r w:rsidRPr="003E3DFC">
              <w:rPr>
                <w:lang w:val="en-GB"/>
              </w:rPr>
              <w:t>23.9</w:t>
            </w:r>
          </w:p>
        </w:tc>
        <w:tc>
          <w:tcPr>
            <w:tcW w:w="568" w:type="pct"/>
            <w:shd w:val="clear" w:color="auto" w:fill="auto"/>
            <w:tcMar>
              <w:top w:w="15" w:type="dxa"/>
              <w:left w:w="108" w:type="dxa"/>
              <w:bottom w:w="0" w:type="dxa"/>
              <w:right w:w="108" w:type="dxa"/>
            </w:tcMar>
            <w:vAlign w:val="center"/>
            <w:hideMark/>
          </w:tcPr>
          <w:p w14:paraId="2C4CBB13" w14:textId="77777777" w:rsidR="00976DE2" w:rsidRPr="003E3DFC" w:rsidRDefault="00976DE2" w:rsidP="00976DE2">
            <w:pPr>
              <w:pStyle w:val="NoSpacing"/>
              <w:jc w:val="center"/>
              <w:rPr>
                <w:lang w:val="en-GB"/>
              </w:rPr>
            </w:pPr>
            <w:r w:rsidRPr="003E3DFC">
              <w:rPr>
                <w:lang w:val="en-GB"/>
              </w:rPr>
              <w:t>24.0</w:t>
            </w:r>
          </w:p>
        </w:tc>
        <w:tc>
          <w:tcPr>
            <w:tcW w:w="568" w:type="pct"/>
            <w:shd w:val="clear" w:color="auto" w:fill="auto"/>
            <w:tcMar>
              <w:top w:w="15" w:type="dxa"/>
              <w:left w:w="108" w:type="dxa"/>
              <w:bottom w:w="0" w:type="dxa"/>
              <w:right w:w="108" w:type="dxa"/>
            </w:tcMar>
            <w:vAlign w:val="center"/>
            <w:hideMark/>
          </w:tcPr>
          <w:p w14:paraId="16B1874B" w14:textId="77777777" w:rsidR="00976DE2" w:rsidRPr="003E3DFC" w:rsidRDefault="00976DE2" w:rsidP="00976DE2">
            <w:pPr>
              <w:pStyle w:val="NoSpacing"/>
              <w:jc w:val="center"/>
              <w:rPr>
                <w:lang w:val="en-GB"/>
              </w:rPr>
            </w:pPr>
            <w:r w:rsidRPr="003E3DFC">
              <w:rPr>
                <w:lang w:val="en-GB"/>
              </w:rPr>
              <w:t>27.9</w:t>
            </w:r>
          </w:p>
        </w:tc>
      </w:tr>
    </w:tbl>
    <w:p w14:paraId="1F5FCDA7" w14:textId="77777777" w:rsidR="00976DE2" w:rsidRPr="003E3DFC" w:rsidRDefault="00976DE2" w:rsidP="00976DE2">
      <w:pPr>
        <w:pStyle w:val="NoSpacing"/>
        <w:rPr>
          <w:lang w:val="en-GB"/>
        </w:rPr>
      </w:pPr>
      <w:r w:rsidRPr="003E3DFC">
        <w:rPr>
          <w:lang w:val="en-GB"/>
        </w:rPr>
        <w:t xml:space="preserve">Source: LFS, State Statistical Office of </w:t>
      </w:r>
      <w:r w:rsidR="00C30864" w:rsidRPr="003E3DFC">
        <w:rPr>
          <w:lang w:val="en-GB"/>
        </w:rPr>
        <w:t>R. of Macedonia</w:t>
      </w:r>
      <w:r w:rsidRPr="003E3DFC">
        <w:rPr>
          <w:lang w:val="en-GB"/>
        </w:rPr>
        <w:t xml:space="preserve"> and Eurostat</w:t>
      </w:r>
    </w:p>
    <w:p w14:paraId="39613CBC" w14:textId="77777777" w:rsidR="00E43576" w:rsidRPr="003E3DFC" w:rsidRDefault="00E43576" w:rsidP="006303F6">
      <w:pPr>
        <w:pStyle w:val="NoSpacing"/>
        <w:rPr>
          <w:lang w:val="en-GB"/>
        </w:rPr>
      </w:pPr>
    </w:p>
    <w:p w14:paraId="6263D38F" w14:textId="08A72B41" w:rsidR="00420112" w:rsidRPr="003E3DFC" w:rsidRDefault="00420112" w:rsidP="00900BB1">
      <w:pPr>
        <w:pStyle w:val="Heading2"/>
      </w:pPr>
      <w:r w:rsidRPr="003E3DFC">
        <w:t>Female Unemployment</w:t>
      </w:r>
    </w:p>
    <w:p w14:paraId="5A089785" w14:textId="77777777" w:rsidR="00C51BAC" w:rsidRPr="003E3DFC" w:rsidRDefault="00C51BAC" w:rsidP="00C51BAC">
      <w:pPr>
        <w:pStyle w:val="NoSpacing"/>
        <w:rPr>
          <w:lang w:val="en-GB"/>
        </w:rPr>
      </w:pPr>
    </w:p>
    <w:p w14:paraId="2AB7F7EE" w14:textId="10F40B1F" w:rsidR="0088150B" w:rsidRPr="003E3DFC" w:rsidRDefault="00CC4B06" w:rsidP="00B87BCD">
      <w:pPr>
        <w:spacing w:after="0"/>
      </w:pPr>
      <w:r w:rsidRPr="003E3DFC">
        <w:t>The f</w:t>
      </w:r>
      <w:r w:rsidR="00EC2B73" w:rsidRPr="003E3DFC">
        <w:t xml:space="preserve">emale unemployment in the </w:t>
      </w:r>
      <w:r w:rsidR="00C30864" w:rsidRPr="003E3DFC">
        <w:t>R. of Macedonia</w:t>
      </w:r>
      <w:r w:rsidRPr="003E3DFC">
        <w:t xml:space="preserve"> stands at a </w:t>
      </w:r>
      <w:r w:rsidR="00EC2B73" w:rsidRPr="003E3DFC">
        <w:t xml:space="preserve">high level, </w:t>
      </w:r>
      <w:r w:rsidRPr="003E3DFC">
        <w:t xml:space="preserve">but </w:t>
      </w:r>
      <w:r w:rsidR="00EC2B73" w:rsidRPr="003E3DFC">
        <w:t>moving in the right dire</w:t>
      </w:r>
      <w:r w:rsidR="009A7E4F" w:rsidRPr="003E3DFC">
        <w:t>ction (figure 6</w:t>
      </w:r>
      <w:r w:rsidR="00613E7D" w:rsidRPr="003E3DFC">
        <w:t>). According to</w:t>
      </w:r>
      <w:r w:rsidR="00EC2B73" w:rsidRPr="003E3DFC">
        <w:t xml:space="preserve"> data for the </w:t>
      </w:r>
      <w:r w:rsidRPr="003E3DFC">
        <w:t>observed</w:t>
      </w:r>
      <w:r w:rsidR="00EC2B73" w:rsidRPr="003E3DFC">
        <w:t xml:space="preserve"> period, </w:t>
      </w:r>
      <w:r w:rsidR="00FF0A6D" w:rsidRPr="003E3DFC">
        <w:t xml:space="preserve">the </w:t>
      </w:r>
      <w:r w:rsidR="00EC2B73" w:rsidRPr="003E3DFC">
        <w:t>f</w:t>
      </w:r>
      <w:r w:rsidR="000854B4" w:rsidRPr="003E3DFC">
        <w:t>emale unemployment</w:t>
      </w:r>
      <w:r w:rsidR="00FF0A6D" w:rsidRPr="003E3DFC">
        <w:t xml:space="preserve"> rate</w:t>
      </w:r>
      <w:r w:rsidR="00FF0A6D" w:rsidRPr="003E3DFC">
        <w:rPr>
          <w:rStyle w:val="FootnoteReference"/>
        </w:rPr>
        <w:footnoteReference w:id="1"/>
      </w:r>
      <w:r w:rsidR="000854B4" w:rsidRPr="003E3DFC">
        <w:t xml:space="preserve"> shows a decreasing trend</w:t>
      </w:r>
      <w:r w:rsidR="00EC2B73" w:rsidRPr="003E3DFC">
        <w:t xml:space="preserve"> and </w:t>
      </w:r>
      <w:r w:rsidRPr="003E3DFC">
        <w:t xml:space="preserve">has </w:t>
      </w:r>
      <w:r w:rsidR="000854B4" w:rsidRPr="003E3DFC">
        <w:t xml:space="preserve">dropped </w:t>
      </w:r>
      <w:r w:rsidR="00EC2B73" w:rsidRPr="003E3DFC">
        <w:t xml:space="preserve">by </w:t>
      </w:r>
      <w:r w:rsidR="000854B4" w:rsidRPr="003E3DFC">
        <w:t>8.8 p.p. in the st</w:t>
      </w:r>
      <w:r w:rsidR="00EC2B73" w:rsidRPr="003E3DFC">
        <w:t>udy period to reach 29% in 2013</w:t>
      </w:r>
      <w:r w:rsidRPr="003E3DFC">
        <w:t xml:space="preserve">. This rate </w:t>
      </w:r>
      <w:r w:rsidR="00EC2B73" w:rsidRPr="003E3DFC">
        <w:t xml:space="preserve">coincides with the level of </w:t>
      </w:r>
      <w:r w:rsidR="000854B4" w:rsidRPr="003E3DFC">
        <w:t>male unemployment</w:t>
      </w:r>
      <w:r w:rsidR="00EC2B73" w:rsidRPr="003E3DFC">
        <w:t xml:space="preserve"> in the same year</w:t>
      </w:r>
      <w:r w:rsidR="000854B4" w:rsidRPr="003E3DFC">
        <w:t xml:space="preserve">. </w:t>
      </w:r>
      <w:r w:rsidR="00EC2B73" w:rsidRPr="003E3DFC">
        <w:t xml:space="preserve"> </w:t>
      </w:r>
      <w:r w:rsidRPr="003E3DFC">
        <w:t>The Female u</w:t>
      </w:r>
      <w:r w:rsidR="00EC2B73" w:rsidRPr="003E3DFC">
        <w:t>nemployment has been</w:t>
      </w:r>
      <w:r w:rsidR="000854B4" w:rsidRPr="003E3DFC">
        <w:t xml:space="preserve"> slightly higher than male unemployment </w:t>
      </w:r>
      <w:r w:rsidRPr="003E3DFC">
        <w:t xml:space="preserve">rate </w:t>
      </w:r>
      <w:r w:rsidR="000854B4" w:rsidRPr="003E3DFC">
        <w:t xml:space="preserve">until 2010, </w:t>
      </w:r>
      <w:r w:rsidRPr="003E3DFC">
        <w:t xml:space="preserve">but on occasions also </w:t>
      </w:r>
      <w:r w:rsidR="00C14CBA" w:rsidRPr="003E3DFC">
        <w:t xml:space="preserve">slightly </w:t>
      </w:r>
      <w:r w:rsidR="000854B4" w:rsidRPr="003E3DFC">
        <w:t xml:space="preserve">lower </w:t>
      </w:r>
      <w:r w:rsidR="00C14CBA" w:rsidRPr="003E3DFC">
        <w:t xml:space="preserve">than male unemployment </w:t>
      </w:r>
      <w:r w:rsidRPr="003E3DFC">
        <w:t xml:space="preserve">as observed </w:t>
      </w:r>
      <w:r w:rsidR="000854B4" w:rsidRPr="003E3DFC">
        <w:t xml:space="preserve">in 2011 and 2012. </w:t>
      </w:r>
      <w:r w:rsidR="00613E7D" w:rsidRPr="003E3DFC">
        <w:t>T</w:t>
      </w:r>
      <w:r w:rsidR="00C14CBA" w:rsidRPr="003E3DFC">
        <w:t>he discrepancy in gender based unemployment trends in the period 2009-2012 should be seen in light of increased</w:t>
      </w:r>
      <w:r w:rsidR="000854B4" w:rsidRPr="003E3DFC">
        <w:t xml:space="preserve"> employment in the</w:t>
      </w:r>
      <w:r w:rsidR="0040425E" w:rsidRPr="003E3DFC">
        <w:t xml:space="preserve"> public sector, and notably in e</w:t>
      </w:r>
      <w:r w:rsidR="000854B4" w:rsidRPr="003E3DFC">
        <w:t>ducation</w:t>
      </w:r>
      <w:r w:rsidR="00C14CBA" w:rsidRPr="003E3DFC">
        <w:t>, which have been favouring women more than men</w:t>
      </w:r>
      <w:r w:rsidR="00613E7D" w:rsidRPr="003E3DFC">
        <w:t xml:space="preserve"> (European Training Foundation, 2013)</w:t>
      </w:r>
      <w:r w:rsidR="000854B4" w:rsidRPr="003E3DFC">
        <w:t>.</w:t>
      </w:r>
      <w:r w:rsidR="00C14CBA" w:rsidRPr="003E3DFC">
        <w:t xml:space="preserve"> </w:t>
      </w:r>
      <w:r w:rsidR="0088150B" w:rsidRPr="003E3DFC">
        <w:t>While</w:t>
      </w:r>
      <w:r w:rsidRPr="003E3DFC">
        <w:t xml:space="preserve"> labour force</w:t>
      </w:r>
      <w:r w:rsidR="0088150B" w:rsidRPr="003E3DFC">
        <w:t xml:space="preserve"> participation and employment rates of women are much lower than those of men, unemployment rates are almost equally distributed between the genders.</w:t>
      </w:r>
      <w:r w:rsidR="003763DE" w:rsidRPr="003E3DFC">
        <w:t xml:space="preserve"> Hence no gender gap </w:t>
      </w:r>
      <w:r w:rsidRPr="003E3DFC">
        <w:t xml:space="preserve">is </w:t>
      </w:r>
      <w:r w:rsidR="00613E7D" w:rsidRPr="003E3DFC">
        <w:t>evident</w:t>
      </w:r>
      <w:r w:rsidRPr="003E3DFC">
        <w:t>.</w:t>
      </w:r>
      <w:r w:rsidR="0088150B" w:rsidRPr="003E3DFC">
        <w:t xml:space="preserve"> Mojsoska-Blazevski and Kurtishi (2012) </w:t>
      </w:r>
      <w:r w:rsidR="00613E7D" w:rsidRPr="003E3DFC">
        <w:t xml:space="preserve">argue that </w:t>
      </w:r>
      <w:r w:rsidR="0088150B" w:rsidRPr="003E3DFC">
        <w:t>this may reflect the relatively high</w:t>
      </w:r>
      <w:r w:rsidR="00A80198" w:rsidRPr="003E3DFC">
        <w:t xml:space="preserve"> willingness of women to take</w:t>
      </w:r>
      <w:r w:rsidR="0088150B" w:rsidRPr="003E3DFC">
        <w:t xml:space="preserve"> low-paid, secure public sector jobs, or jobs in new</w:t>
      </w:r>
      <w:r w:rsidR="003763DE" w:rsidRPr="003E3DFC">
        <w:t xml:space="preserve">ly created small private firms, </w:t>
      </w:r>
      <w:r w:rsidR="0088150B" w:rsidRPr="003E3DFC">
        <w:t>since by tradition, they ar</w:t>
      </w:r>
      <w:r w:rsidR="00BD17A8" w:rsidRPr="003E3DFC">
        <w:t>e second-income family earners.</w:t>
      </w:r>
    </w:p>
    <w:p w14:paraId="6EAF3D46" w14:textId="77777777" w:rsidR="00C66D4A" w:rsidRPr="003E3DFC" w:rsidRDefault="00C66D4A" w:rsidP="00B87BCD">
      <w:pPr>
        <w:pStyle w:val="NoSpacing"/>
        <w:rPr>
          <w:lang w:val="en-GB"/>
        </w:rPr>
      </w:pPr>
    </w:p>
    <w:p w14:paraId="53CEA223" w14:textId="35340B6E" w:rsidR="006D0496" w:rsidRPr="003E3DFC" w:rsidRDefault="006D0496" w:rsidP="006D0496">
      <w:pPr>
        <w:pStyle w:val="Caption"/>
        <w:keepNext/>
        <w:rPr>
          <w:i w:val="0"/>
          <w:color w:val="auto"/>
          <w:sz w:val="24"/>
          <w:szCs w:val="24"/>
        </w:rPr>
      </w:pPr>
      <w:r w:rsidRPr="003E3DFC">
        <w:rPr>
          <w:i w:val="0"/>
          <w:color w:val="auto"/>
          <w:sz w:val="24"/>
          <w:szCs w:val="24"/>
        </w:rPr>
        <w:lastRenderedPageBreak/>
        <w:t xml:space="preserve">Figure </w:t>
      </w:r>
      <w:r w:rsidRPr="003E3DFC">
        <w:rPr>
          <w:i w:val="0"/>
          <w:color w:val="auto"/>
          <w:sz w:val="24"/>
          <w:szCs w:val="24"/>
        </w:rPr>
        <w:fldChar w:fldCharType="begin"/>
      </w:r>
      <w:r w:rsidRPr="003E3DFC">
        <w:rPr>
          <w:i w:val="0"/>
          <w:color w:val="auto"/>
          <w:sz w:val="24"/>
          <w:szCs w:val="24"/>
        </w:rPr>
        <w:instrText xml:space="preserve"> SEQ Figure \* ARABIC </w:instrText>
      </w:r>
      <w:r w:rsidRPr="003E3DFC">
        <w:rPr>
          <w:i w:val="0"/>
          <w:color w:val="auto"/>
          <w:sz w:val="24"/>
          <w:szCs w:val="24"/>
        </w:rPr>
        <w:fldChar w:fldCharType="separate"/>
      </w:r>
      <w:r w:rsidR="009A7E4F" w:rsidRPr="003E3DFC">
        <w:rPr>
          <w:i w:val="0"/>
          <w:noProof/>
          <w:color w:val="auto"/>
          <w:sz w:val="24"/>
          <w:szCs w:val="24"/>
        </w:rPr>
        <w:t>6</w:t>
      </w:r>
      <w:r w:rsidRPr="003E3DFC">
        <w:rPr>
          <w:i w:val="0"/>
          <w:color w:val="auto"/>
          <w:sz w:val="24"/>
          <w:szCs w:val="24"/>
        </w:rPr>
        <w:fldChar w:fldCharType="end"/>
      </w:r>
      <w:r w:rsidR="003F1A12" w:rsidRPr="003E3DFC">
        <w:rPr>
          <w:i w:val="0"/>
          <w:color w:val="auto"/>
          <w:sz w:val="24"/>
          <w:szCs w:val="24"/>
        </w:rPr>
        <w:t>: Unemployment rate in Macedonia by g</w:t>
      </w:r>
      <w:r w:rsidRPr="003E3DFC">
        <w:rPr>
          <w:i w:val="0"/>
          <w:color w:val="auto"/>
          <w:sz w:val="24"/>
          <w:szCs w:val="24"/>
        </w:rPr>
        <w:t>ender 2004-2013 (%)</w:t>
      </w:r>
    </w:p>
    <w:p w14:paraId="392EEE5C" w14:textId="251831DB" w:rsidR="00C66D4A" w:rsidRPr="003E3DFC" w:rsidRDefault="006C06C9" w:rsidP="000854B4">
      <w:pPr>
        <w:pStyle w:val="NoSpacing"/>
        <w:rPr>
          <w:lang w:val="en-GB"/>
        </w:rPr>
      </w:pPr>
      <w:r w:rsidRPr="003E3DFC">
        <w:rPr>
          <w:noProof/>
          <w:lang w:val="bs-Latn-BA" w:eastAsia="bs-Latn-BA"/>
        </w:rPr>
        <w:drawing>
          <wp:inline distT="0" distB="0" distL="0" distR="0" wp14:anchorId="5BFDFBD1" wp14:editId="4E4948F9">
            <wp:extent cx="5781675" cy="2813685"/>
            <wp:effectExtent l="0" t="0" r="0" b="571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7B0A80" w14:textId="22B9595B" w:rsidR="006D0496" w:rsidRPr="003E3DFC" w:rsidRDefault="006D0496" w:rsidP="006D0496">
      <w:pPr>
        <w:pStyle w:val="NoSpacing"/>
        <w:rPr>
          <w:lang w:val="en-GB"/>
        </w:rPr>
      </w:pPr>
      <w:r w:rsidRPr="003E3DFC">
        <w:rPr>
          <w:lang w:val="en-GB"/>
        </w:rPr>
        <w:t xml:space="preserve">Source: </w:t>
      </w:r>
      <w:r w:rsidR="003F1A12" w:rsidRPr="003E3DFC">
        <w:rPr>
          <w:lang w:val="en-GB"/>
        </w:rPr>
        <w:t xml:space="preserve">Author’s own work based on LFS data from </w:t>
      </w:r>
      <w:r w:rsidRPr="003E3DFC">
        <w:rPr>
          <w:lang w:val="en-GB"/>
        </w:rPr>
        <w:t>State Statistical Office</w:t>
      </w:r>
      <w:r w:rsidR="000854B4" w:rsidRPr="003E3DFC">
        <w:rPr>
          <w:lang w:val="en-GB"/>
        </w:rPr>
        <w:t xml:space="preserve"> of the </w:t>
      </w:r>
      <w:r w:rsidR="00C30864" w:rsidRPr="003E3DFC">
        <w:rPr>
          <w:lang w:val="en-GB"/>
        </w:rPr>
        <w:t>R. of Macedonia</w:t>
      </w:r>
    </w:p>
    <w:p w14:paraId="034EAA7E" w14:textId="77777777" w:rsidR="00C66D4A" w:rsidRPr="003E3DFC" w:rsidRDefault="00C66D4A" w:rsidP="006303F6">
      <w:pPr>
        <w:pStyle w:val="NoSpacing"/>
        <w:rPr>
          <w:lang w:val="en-GB"/>
        </w:rPr>
      </w:pPr>
    </w:p>
    <w:p w14:paraId="7BEF5D04" w14:textId="26964C3A" w:rsidR="000854B4" w:rsidRPr="003E3DFC" w:rsidRDefault="00CC4B06" w:rsidP="006303F6">
      <w:pPr>
        <w:pStyle w:val="NoSpacing"/>
        <w:rPr>
          <w:lang w:val="en-GB"/>
        </w:rPr>
      </w:pPr>
      <w:r w:rsidRPr="003E3DFC">
        <w:rPr>
          <w:lang w:val="en-GB"/>
        </w:rPr>
        <w:t>O</w:t>
      </w:r>
      <w:r w:rsidR="00F625BB" w:rsidRPr="003E3DFC">
        <w:rPr>
          <w:lang w:val="en-GB"/>
        </w:rPr>
        <w:t xml:space="preserve">bserved </w:t>
      </w:r>
      <w:r w:rsidR="00C14CBA" w:rsidRPr="003E3DFC">
        <w:rPr>
          <w:lang w:val="en-GB"/>
        </w:rPr>
        <w:t xml:space="preserve">data </w:t>
      </w:r>
      <w:r w:rsidR="009D469E" w:rsidRPr="003E3DFC">
        <w:rPr>
          <w:lang w:val="en-GB"/>
        </w:rPr>
        <w:t xml:space="preserve">for 2013 </w:t>
      </w:r>
      <w:r w:rsidRPr="003E3DFC">
        <w:rPr>
          <w:lang w:val="en-GB"/>
        </w:rPr>
        <w:t>show</w:t>
      </w:r>
      <w:r w:rsidR="00F625BB" w:rsidRPr="003E3DFC">
        <w:rPr>
          <w:lang w:val="en-GB"/>
        </w:rPr>
        <w:t xml:space="preserve"> (table</w:t>
      </w:r>
      <w:r w:rsidR="00C14CBA" w:rsidRPr="003E3DFC">
        <w:rPr>
          <w:lang w:val="en-GB"/>
        </w:rPr>
        <w:t xml:space="preserve"> </w:t>
      </w:r>
      <w:r w:rsidR="00F625BB" w:rsidRPr="003E3DFC">
        <w:rPr>
          <w:lang w:val="en-GB"/>
        </w:rPr>
        <w:t>6</w:t>
      </w:r>
      <w:r w:rsidR="00186300" w:rsidRPr="003E3DFC">
        <w:rPr>
          <w:lang w:val="en-GB"/>
        </w:rPr>
        <w:t xml:space="preserve">) that </w:t>
      </w:r>
      <w:r w:rsidR="00C30864" w:rsidRPr="003E3DFC">
        <w:rPr>
          <w:lang w:val="en-GB"/>
        </w:rPr>
        <w:t>R. of Macedonia</w:t>
      </w:r>
      <w:r w:rsidR="00C14CBA" w:rsidRPr="003E3DFC">
        <w:rPr>
          <w:lang w:val="en-GB"/>
        </w:rPr>
        <w:t xml:space="preserve"> has the </w:t>
      </w:r>
      <w:r w:rsidRPr="003E3DFC">
        <w:rPr>
          <w:lang w:val="en-GB"/>
        </w:rPr>
        <w:t xml:space="preserve">second </w:t>
      </w:r>
      <w:r w:rsidR="00C14CBA" w:rsidRPr="003E3DFC">
        <w:rPr>
          <w:lang w:val="en-GB"/>
        </w:rPr>
        <w:t xml:space="preserve">highest </w:t>
      </w:r>
      <w:r w:rsidR="002F5CD6" w:rsidRPr="003E3DFC">
        <w:rPr>
          <w:lang w:val="en-GB"/>
        </w:rPr>
        <w:t xml:space="preserve">female </w:t>
      </w:r>
      <w:r w:rsidR="00C14CBA" w:rsidRPr="003E3DFC">
        <w:rPr>
          <w:lang w:val="en-GB"/>
        </w:rPr>
        <w:t>unemployment rate</w:t>
      </w:r>
      <w:r w:rsidR="009D469E" w:rsidRPr="003E3DFC">
        <w:rPr>
          <w:lang w:val="en-GB"/>
        </w:rPr>
        <w:t xml:space="preserve"> (29%)</w:t>
      </w:r>
      <w:r w:rsidR="00C14CBA" w:rsidRPr="003E3DFC">
        <w:rPr>
          <w:lang w:val="en-GB"/>
        </w:rPr>
        <w:t xml:space="preserve"> </w:t>
      </w:r>
      <w:r w:rsidRPr="003E3DFC">
        <w:rPr>
          <w:lang w:val="en-GB"/>
        </w:rPr>
        <w:t>compared to the benchmark</w:t>
      </w:r>
      <w:r w:rsidR="00C14CBA" w:rsidRPr="003E3DFC">
        <w:rPr>
          <w:lang w:val="en-GB"/>
        </w:rPr>
        <w:t xml:space="preserve">, surpassed </w:t>
      </w:r>
      <w:r w:rsidR="009D469E" w:rsidRPr="003E3DFC">
        <w:rPr>
          <w:lang w:val="en-GB"/>
        </w:rPr>
        <w:t xml:space="preserve">in this context </w:t>
      </w:r>
      <w:r w:rsidR="00C14CBA" w:rsidRPr="003E3DFC">
        <w:rPr>
          <w:lang w:val="en-GB"/>
        </w:rPr>
        <w:t xml:space="preserve">only by </w:t>
      </w:r>
      <w:r w:rsidR="009D469E" w:rsidRPr="003E3DFC">
        <w:rPr>
          <w:lang w:val="en-GB"/>
        </w:rPr>
        <w:t xml:space="preserve">Greece (31.6%) who registered </w:t>
      </w:r>
      <w:r w:rsidRPr="003E3DFC">
        <w:rPr>
          <w:lang w:val="en-GB"/>
        </w:rPr>
        <w:t xml:space="preserve">a </w:t>
      </w:r>
      <w:r w:rsidR="009D469E" w:rsidRPr="003E3DFC">
        <w:rPr>
          <w:lang w:val="en-GB"/>
        </w:rPr>
        <w:t xml:space="preserve">higher </w:t>
      </w:r>
      <w:r w:rsidRPr="003E3DFC">
        <w:rPr>
          <w:lang w:val="en-GB"/>
        </w:rPr>
        <w:t xml:space="preserve">female unemployment rate in the same year. Slovenia (11.1%) and </w:t>
      </w:r>
      <w:r w:rsidR="000854B4" w:rsidRPr="003E3DFC">
        <w:rPr>
          <w:lang w:val="en-GB"/>
        </w:rPr>
        <w:t xml:space="preserve">Bulgaria (11.9%) </w:t>
      </w:r>
      <w:r w:rsidR="009D469E" w:rsidRPr="003E3DFC">
        <w:rPr>
          <w:lang w:val="en-GB"/>
        </w:rPr>
        <w:t xml:space="preserve">represent </w:t>
      </w:r>
      <w:r w:rsidRPr="003E3DFC">
        <w:rPr>
          <w:lang w:val="en-GB"/>
        </w:rPr>
        <w:t xml:space="preserve">the two </w:t>
      </w:r>
      <w:r w:rsidR="009D469E" w:rsidRPr="003E3DFC">
        <w:rPr>
          <w:lang w:val="en-GB"/>
        </w:rPr>
        <w:t xml:space="preserve">countries </w:t>
      </w:r>
      <w:r w:rsidRPr="003E3DFC">
        <w:rPr>
          <w:lang w:val="en-GB"/>
        </w:rPr>
        <w:t xml:space="preserve">in this context </w:t>
      </w:r>
      <w:r w:rsidR="000854B4" w:rsidRPr="003E3DFC">
        <w:rPr>
          <w:lang w:val="en-GB"/>
        </w:rPr>
        <w:t>with lowest female unemployment rates in 2013.</w:t>
      </w:r>
    </w:p>
    <w:p w14:paraId="28D059F8" w14:textId="77777777" w:rsidR="006303F6" w:rsidRPr="003E3DFC" w:rsidRDefault="006303F6" w:rsidP="006303F6">
      <w:pPr>
        <w:pStyle w:val="NoSpacing"/>
        <w:rPr>
          <w:lang w:val="en-GB"/>
        </w:rPr>
      </w:pPr>
    </w:p>
    <w:p w14:paraId="5C183EB5" w14:textId="16A5D7F9" w:rsidR="000854B4" w:rsidRPr="003E3DFC" w:rsidRDefault="00CC4B06" w:rsidP="006303F6">
      <w:pPr>
        <w:pStyle w:val="NoSpacing"/>
        <w:rPr>
          <w:lang w:val="en-GB"/>
        </w:rPr>
      </w:pPr>
      <w:r w:rsidRPr="003E3DFC">
        <w:rPr>
          <w:lang w:val="en-GB"/>
        </w:rPr>
        <w:t>The lowest f</w:t>
      </w:r>
      <w:r w:rsidR="000854B4" w:rsidRPr="003E3DFC">
        <w:rPr>
          <w:lang w:val="en-GB"/>
        </w:rPr>
        <w:t xml:space="preserve">emale unemployment </w:t>
      </w:r>
      <w:r w:rsidRPr="003E3DFC">
        <w:rPr>
          <w:lang w:val="en-GB"/>
        </w:rPr>
        <w:t>rate in the observed period</w:t>
      </w:r>
      <w:r w:rsidR="000854B4" w:rsidRPr="003E3DFC">
        <w:rPr>
          <w:lang w:val="en-GB"/>
        </w:rPr>
        <w:t xml:space="preserve"> </w:t>
      </w:r>
      <w:r w:rsidRPr="003E3DFC">
        <w:rPr>
          <w:lang w:val="en-GB"/>
        </w:rPr>
        <w:t xml:space="preserve">has </w:t>
      </w:r>
      <w:r w:rsidR="000854B4" w:rsidRPr="003E3DFC">
        <w:rPr>
          <w:lang w:val="en-GB"/>
        </w:rPr>
        <w:t xml:space="preserve">been </w:t>
      </w:r>
      <w:r w:rsidRPr="003E3DFC">
        <w:rPr>
          <w:lang w:val="en-GB"/>
        </w:rPr>
        <w:t xml:space="preserve">registered in Slovenia </w:t>
      </w:r>
      <w:r w:rsidR="004363A8" w:rsidRPr="003E3DFC">
        <w:rPr>
          <w:lang w:val="en-GB"/>
        </w:rPr>
        <w:t xml:space="preserve">in 2008 at the rate of </w:t>
      </w:r>
      <w:r w:rsidR="000854B4" w:rsidRPr="003E3DFC">
        <w:rPr>
          <w:lang w:val="en-GB"/>
        </w:rPr>
        <w:t xml:space="preserve">4.9% </w:t>
      </w:r>
      <w:r w:rsidR="004363A8" w:rsidRPr="003E3DFC">
        <w:rPr>
          <w:lang w:val="en-GB"/>
        </w:rPr>
        <w:t xml:space="preserve">and the highest rate in the R. of Macedonia back in 2004, which registered a female unemployment rate approximate six times higher than Slovenia (lowest in 2004) and approximately twice the rate of Greece registering the second highest female unemployment rate in the same year. Looking at the trend in the observed period, </w:t>
      </w:r>
      <w:r w:rsidR="009D469E" w:rsidRPr="003E3DFC">
        <w:rPr>
          <w:lang w:val="en-GB"/>
        </w:rPr>
        <w:t xml:space="preserve">all countries have experienced fluctuations in </w:t>
      </w:r>
      <w:r w:rsidR="004363A8" w:rsidRPr="003E3DFC">
        <w:rPr>
          <w:lang w:val="en-GB"/>
        </w:rPr>
        <w:t xml:space="preserve">female </w:t>
      </w:r>
      <w:r w:rsidR="009D469E" w:rsidRPr="003E3DFC">
        <w:rPr>
          <w:lang w:val="en-GB"/>
        </w:rPr>
        <w:t>unemployment rates</w:t>
      </w:r>
      <w:r w:rsidR="00EF01CE" w:rsidRPr="003E3DFC">
        <w:rPr>
          <w:lang w:val="en-GB"/>
        </w:rPr>
        <w:t xml:space="preserve">, </w:t>
      </w:r>
      <w:r w:rsidR="004363A8" w:rsidRPr="003E3DFC">
        <w:rPr>
          <w:lang w:val="en-GB"/>
        </w:rPr>
        <w:t xml:space="preserve">and </w:t>
      </w:r>
      <w:r w:rsidR="00EF01CE" w:rsidRPr="003E3DFC">
        <w:rPr>
          <w:lang w:val="en-GB"/>
        </w:rPr>
        <w:t>notable fluctuations</w:t>
      </w:r>
      <w:r w:rsidR="004363A8" w:rsidRPr="003E3DFC">
        <w:rPr>
          <w:lang w:val="en-GB"/>
        </w:rPr>
        <w:t xml:space="preserve"> in the period 2009-2013</w:t>
      </w:r>
      <w:r w:rsidR="00EF01CE" w:rsidRPr="003E3DFC">
        <w:rPr>
          <w:lang w:val="en-GB"/>
        </w:rPr>
        <w:t>,</w:t>
      </w:r>
      <w:r w:rsidR="009D469E" w:rsidRPr="003E3DFC">
        <w:rPr>
          <w:lang w:val="en-GB"/>
        </w:rPr>
        <w:t xml:space="preserve"> due </w:t>
      </w:r>
      <w:r w:rsidR="00186300" w:rsidRPr="003E3DFC">
        <w:rPr>
          <w:lang w:val="en-GB"/>
        </w:rPr>
        <w:t>to</w:t>
      </w:r>
      <w:r w:rsidR="009D469E" w:rsidRPr="003E3DFC">
        <w:rPr>
          <w:lang w:val="en-GB"/>
        </w:rPr>
        <w:t xml:space="preserve"> particular to the </w:t>
      </w:r>
      <w:r w:rsidR="00730EF5" w:rsidRPr="003E3DFC">
        <w:rPr>
          <w:lang w:val="en-GB"/>
        </w:rPr>
        <w:t>spill-over</w:t>
      </w:r>
      <w:r w:rsidR="009D469E" w:rsidRPr="003E3DFC">
        <w:rPr>
          <w:lang w:val="en-GB"/>
        </w:rPr>
        <w:t xml:space="preserve"> effect</w:t>
      </w:r>
      <w:r w:rsidR="004363A8" w:rsidRPr="003E3DFC">
        <w:rPr>
          <w:lang w:val="en-GB"/>
        </w:rPr>
        <w:t>s of the global economic crisis. Th</w:t>
      </w:r>
      <w:r w:rsidR="009D469E" w:rsidRPr="003E3DFC">
        <w:rPr>
          <w:lang w:val="en-GB"/>
        </w:rPr>
        <w:t xml:space="preserve">e </w:t>
      </w:r>
      <w:r w:rsidR="00C30864" w:rsidRPr="003E3DFC">
        <w:rPr>
          <w:lang w:val="en-GB"/>
        </w:rPr>
        <w:t>R. of Macedonia</w:t>
      </w:r>
      <w:r w:rsidR="009D469E" w:rsidRPr="003E3DFC">
        <w:rPr>
          <w:lang w:val="en-GB"/>
        </w:rPr>
        <w:t xml:space="preserve"> is the only country </w:t>
      </w:r>
      <w:r w:rsidR="004363A8" w:rsidRPr="003E3DFC">
        <w:rPr>
          <w:lang w:val="en-GB"/>
        </w:rPr>
        <w:t>registering</w:t>
      </w:r>
      <w:r w:rsidR="009D469E" w:rsidRPr="003E3DFC">
        <w:rPr>
          <w:lang w:val="en-GB"/>
        </w:rPr>
        <w:t xml:space="preserve"> an uninterrupted decrease in rates throughout the period.</w:t>
      </w:r>
    </w:p>
    <w:p w14:paraId="292A87C3" w14:textId="77777777" w:rsidR="000854B4" w:rsidRPr="003E3DFC" w:rsidRDefault="000854B4" w:rsidP="006303F6">
      <w:pPr>
        <w:pStyle w:val="NoSpacing"/>
        <w:rPr>
          <w:lang w:val="en-GB"/>
        </w:rPr>
      </w:pPr>
    </w:p>
    <w:p w14:paraId="5FA70DCB" w14:textId="3F9AE96A" w:rsidR="000854B4" w:rsidRPr="003E3DFC" w:rsidRDefault="00F625BB" w:rsidP="00F625BB">
      <w:pPr>
        <w:pStyle w:val="Caption"/>
        <w:rPr>
          <w:i w:val="0"/>
          <w:color w:val="auto"/>
          <w:sz w:val="36"/>
        </w:rPr>
      </w:pPr>
      <w:r w:rsidRPr="003E3DFC">
        <w:rPr>
          <w:i w:val="0"/>
          <w:color w:val="auto"/>
          <w:sz w:val="24"/>
        </w:rPr>
        <w:t xml:space="preserve">Table </w:t>
      </w:r>
      <w:r w:rsidRPr="003E3DFC">
        <w:rPr>
          <w:i w:val="0"/>
          <w:color w:val="auto"/>
          <w:sz w:val="24"/>
        </w:rPr>
        <w:fldChar w:fldCharType="begin"/>
      </w:r>
      <w:r w:rsidRPr="003E3DFC">
        <w:rPr>
          <w:i w:val="0"/>
          <w:color w:val="auto"/>
          <w:sz w:val="24"/>
        </w:rPr>
        <w:instrText xml:space="preserve"> SEQ Table \* ARABIC </w:instrText>
      </w:r>
      <w:r w:rsidRPr="003E3DFC">
        <w:rPr>
          <w:i w:val="0"/>
          <w:color w:val="auto"/>
          <w:sz w:val="24"/>
        </w:rPr>
        <w:fldChar w:fldCharType="separate"/>
      </w:r>
      <w:r w:rsidRPr="003E3DFC">
        <w:rPr>
          <w:i w:val="0"/>
          <w:noProof/>
          <w:color w:val="auto"/>
          <w:sz w:val="24"/>
        </w:rPr>
        <w:t>6</w:t>
      </w:r>
      <w:r w:rsidRPr="003E3DFC">
        <w:rPr>
          <w:i w:val="0"/>
          <w:color w:val="auto"/>
          <w:sz w:val="24"/>
        </w:rPr>
        <w:fldChar w:fldCharType="end"/>
      </w:r>
      <w:r w:rsidR="003F1A12" w:rsidRPr="003E3DFC">
        <w:rPr>
          <w:i w:val="0"/>
          <w:color w:val="auto"/>
          <w:sz w:val="24"/>
        </w:rPr>
        <w:t>: Female u</w:t>
      </w:r>
      <w:r w:rsidRPr="003E3DFC">
        <w:rPr>
          <w:i w:val="0"/>
          <w:color w:val="auto"/>
          <w:sz w:val="24"/>
        </w:rPr>
        <w:t xml:space="preserve">nemployment </w:t>
      </w:r>
      <w:r w:rsidR="003F1A12" w:rsidRPr="003E3DFC">
        <w:rPr>
          <w:i w:val="0"/>
          <w:color w:val="auto"/>
          <w:sz w:val="24"/>
        </w:rPr>
        <w:t>r</w:t>
      </w:r>
      <w:r w:rsidRPr="003E3DFC">
        <w:rPr>
          <w:i w:val="0"/>
          <w:color w:val="auto"/>
          <w:sz w:val="24"/>
        </w:rPr>
        <w:t>ates in selected Balkan countries 2004-2013 (%)</w:t>
      </w:r>
    </w:p>
    <w:tbl>
      <w:tblPr>
        <w:tblW w:w="5000" w:type="pct"/>
        <w:tblLook w:val="04A0" w:firstRow="1" w:lastRow="0" w:firstColumn="1" w:lastColumn="0" w:noHBand="0" w:noVBand="1"/>
      </w:tblPr>
      <w:tblGrid>
        <w:gridCol w:w="1536"/>
        <w:gridCol w:w="780"/>
        <w:gridCol w:w="782"/>
        <w:gridCol w:w="781"/>
        <w:gridCol w:w="783"/>
        <w:gridCol w:w="781"/>
        <w:gridCol w:w="783"/>
        <w:gridCol w:w="781"/>
        <w:gridCol w:w="783"/>
        <w:gridCol w:w="781"/>
        <w:gridCol w:w="779"/>
      </w:tblGrid>
      <w:tr w:rsidR="00B80334" w:rsidRPr="003E3DFC" w14:paraId="65F3725B" w14:textId="77777777" w:rsidTr="009D4003">
        <w:trPr>
          <w:trHeight w:val="285"/>
        </w:trPr>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74BD2" w14:textId="79373BD8" w:rsidR="009D4003" w:rsidRPr="003E3DFC" w:rsidRDefault="009D4003" w:rsidP="009D4003">
            <w:pPr>
              <w:spacing w:after="0"/>
              <w:jc w:val="left"/>
              <w:rPr>
                <w:rFonts w:eastAsia="Times New Roman"/>
                <w:b/>
                <w:sz w:val="22"/>
                <w:szCs w:val="20"/>
              </w:rPr>
            </w:pPr>
            <w:r w:rsidRPr="003E3DFC">
              <w:rPr>
                <w:rFonts w:eastAsia="Times New Roman"/>
                <w:b/>
                <w:sz w:val="22"/>
                <w:szCs w:val="20"/>
              </w:rPr>
              <w:t>Country/Year</w:t>
            </w:r>
          </w:p>
        </w:tc>
        <w:tc>
          <w:tcPr>
            <w:tcW w:w="423" w:type="pct"/>
            <w:tcBorders>
              <w:top w:val="single" w:sz="4" w:space="0" w:color="000000"/>
              <w:left w:val="nil"/>
              <w:bottom w:val="single" w:sz="4" w:space="0" w:color="000000"/>
              <w:right w:val="single" w:sz="4" w:space="0" w:color="000000"/>
            </w:tcBorders>
            <w:shd w:val="clear" w:color="auto" w:fill="auto"/>
            <w:noWrap/>
            <w:vAlign w:val="center"/>
            <w:hideMark/>
          </w:tcPr>
          <w:p w14:paraId="7E0481EA" w14:textId="77777777" w:rsidR="009D4003" w:rsidRPr="003E3DFC" w:rsidRDefault="009D4003" w:rsidP="009D4003">
            <w:pPr>
              <w:spacing w:after="0"/>
              <w:jc w:val="center"/>
              <w:rPr>
                <w:rFonts w:eastAsia="Times New Roman"/>
                <w:b/>
                <w:sz w:val="22"/>
                <w:szCs w:val="20"/>
              </w:rPr>
            </w:pPr>
            <w:r w:rsidRPr="003E3DFC">
              <w:rPr>
                <w:rFonts w:eastAsia="Times New Roman"/>
                <w:b/>
                <w:sz w:val="22"/>
                <w:szCs w:val="20"/>
              </w:rPr>
              <w:t>2004</w:t>
            </w:r>
          </w:p>
        </w:tc>
        <w:tc>
          <w:tcPr>
            <w:tcW w:w="424" w:type="pct"/>
            <w:tcBorders>
              <w:top w:val="single" w:sz="4" w:space="0" w:color="000000"/>
              <w:left w:val="nil"/>
              <w:bottom w:val="single" w:sz="4" w:space="0" w:color="000000"/>
              <w:right w:val="single" w:sz="4" w:space="0" w:color="000000"/>
            </w:tcBorders>
            <w:shd w:val="clear" w:color="auto" w:fill="auto"/>
            <w:noWrap/>
            <w:vAlign w:val="center"/>
            <w:hideMark/>
          </w:tcPr>
          <w:p w14:paraId="0DF8EAEB" w14:textId="77777777" w:rsidR="009D4003" w:rsidRPr="003E3DFC" w:rsidRDefault="009D4003" w:rsidP="009D4003">
            <w:pPr>
              <w:spacing w:after="0"/>
              <w:jc w:val="center"/>
              <w:rPr>
                <w:rFonts w:eastAsia="Times New Roman"/>
                <w:b/>
                <w:sz w:val="22"/>
                <w:szCs w:val="20"/>
              </w:rPr>
            </w:pPr>
            <w:r w:rsidRPr="003E3DFC">
              <w:rPr>
                <w:rFonts w:eastAsia="Times New Roman"/>
                <w:b/>
                <w:sz w:val="22"/>
                <w:szCs w:val="20"/>
              </w:rPr>
              <w:t>2005</w:t>
            </w:r>
          </w:p>
        </w:tc>
        <w:tc>
          <w:tcPr>
            <w:tcW w:w="423" w:type="pct"/>
            <w:tcBorders>
              <w:top w:val="single" w:sz="4" w:space="0" w:color="000000"/>
              <w:left w:val="nil"/>
              <w:bottom w:val="single" w:sz="4" w:space="0" w:color="000000"/>
              <w:right w:val="single" w:sz="4" w:space="0" w:color="000000"/>
            </w:tcBorders>
            <w:shd w:val="clear" w:color="auto" w:fill="auto"/>
            <w:noWrap/>
            <w:vAlign w:val="center"/>
            <w:hideMark/>
          </w:tcPr>
          <w:p w14:paraId="2158E50E" w14:textId="77777777" w:rsidR="009D4003" w:rsidRPr="003E3DFC" w:rsidRDefault="009D4003" w:rsidP="009D4003">
            <w:pPr>
              <w:spacing w:after="0"/>
              <w:jc w:val="center"/>
              <w:rPr>
                <w:rFonts w:eastAsia="Times New Roman"/>
                <w:b/>
                <w:sz w:val="22"/>
                <w:szCs w:val="20"/>
              </w:rPr>
            </w:pPr>
            <w:r w:rsidRPr="003E3DFC">
              <w:rPr>
                <w:rFonts w:eastAsia="Times New Roman"/>
                <w:b/>
                <w:sz w:val="22"/>
                <w:szCs w:val="20"/>
              </w:rPr>
              <w:t>2006</w:t>
            </w:r>
          </w:p>
        </w:tc>
        <w:tc>
          <w:tcPr>
            <w:tcW w:w="424" w:type="pct"/>
            <w:tcBorders>
              <w:top w:val="single" w:sz="4" w:space="0" w:color="000000"/>
              <w:left w:val="nil"/>
              <w:bottom w:val="single" w:sz="4" w:space="0" w:color="000000"/>
              <w:right w:val="single" w:sz="4" w:space="0" w:color="000000"/>
            </w:tcBorders>
            <w:shd w:val="clear" w:color="auto" w:fill="auto"/>
            <w:noWrap/>
            <w:vAlign w:val="center"/>
            <w:hideMark/>
          </w:tcPr>
          <w:p w14:paraId="6A581FF4" w14:textId="77777777" w:rsidR="009D4003" w:rsidRPr="003E3DFC" w:rsidRDefault="009D4003" w:rsidP="009D4003">
            <w:pPr>
              <w:spacing w:after="0"/>
              <w:jc w:val="center"/>
              <w:rPr>
                <w:rFonts w:eastAsia="Times New Roman"/>
                <w:b/>
                <w:sz w:val="22"/>
                <w:szCs w:val="20"/>
              </w:rPr>
            </w:pPr>
            <w:r w:rsidRPr="003E3DFC">
              <w:rPr>
                <w:rFonts w:eastAsia="Times New Roman"/>
                <w:b/>
                <w:sz w:val="22"/>
                <w:szCs w:val="20"/>
              </w:rPr>
              <w:t>2007</w:t>
            </w:r>
          </w:p>
        </w:tc>
        <w:tc>
          <w:tcPr>
            <w:tcW w:w="423" w:type="pct"/>
            <w:tcBorders>
              <w:top w:val="single" w:sz="4" w:space="0" w:color="000000"/>
              <w:left w:val="nil"/>
              <w:bottom w:val="single" w:sz="4" w:space="0" w:color="000000"/>
              <w:right w:val="single" w:sz="4" w:space="0" w:color="000000"/>
            </w:tcBorders>
            <w:shd w:val="clear" w:color="auto" w:fill="auto"/>
            <w:noWrap/>
            <w:vAlign w:val="center"/>
            <w:hideMark/>
          </w:tcPr>
          <w:p w14:paraId="51CEB39F" w14:textId="77777777" w:rsidR="009D4003" w:rsidRPr="003E3DFC" w:rsidRDefault="009D4003" w:rsidP="009D4003">
            <w:pPr>
              <w:spacing w:after="0"/>
              <w:jc w:val="center"/>
              <w:rPr>
                <w:rFonts w:eastAsia="Times New Roman"/>
                <w:b/>
                <w:sz w:val="22"/>
                <w:szCs w:val="20"/>
              </w:rPr>
            </w:pPr>
            <w:r w:rsidRPr="003E3DFC">
              <w:rPr>
                <w:rFonts w:eastAsia="Times New Roman"/>
                <w:b/>
                <w:sz w:val="22"/>
                <w:szCs w:val="20"/>
              </w:rPr>
              <w:t>2008</w:t>
            </w:r>
          </w:p>
        </w:tc>
        <w:tc>
          <w:tcPr>
            <w:tcW w:w="424" w:type="pct"/>
            <w:tcBorders>
              <w:top w:val="single" w:sz="4" w:space="0" w:color="000000"/>
              <w:left w:val="nil"/>
              <w:bottom w:val="single" w:sz="4" w:space="0" w:color="000000"/>
              <w:right w:val="single" w:sz="4" w:space="0" w:color="000000"/>
            </w:tcBorders>
            <w:shd w:val="clear" w:color="auto" w:fill="auto"/>
            <w:noWrap/>
            <w:vAlign w:val="center"/>
            <w:hideMark/>
          </w:tcPr>
          <w:p w14:paraId="01CDCEC1" w14:textId="77777777" w:rsidR="009D4003" w:rsidRPr="003E3DFC" w:rsidRDefault="009D4003" w:rsidP="009D4003">
            <w:pPr>
              <w:spacing w:after="0"/>
              <w:jc w:val="center"/>
              <w:rPr>
                <w:rFonts w:eastAsia="Times New Roman"/>
                <w:b/>
                <w:sz w:val="22"/>
                <w:szCs w:val="20"/>
              </w:rPr>
            </w:pPr>
            <w:r w:rsidRPr="003E3DFC">
              <w:rPr>
                <w:rFonts w:eastAsia="Times New Roman"/>
                <w:b/>
                <w:sz w:val="22"/>
                <w:szCs w:val="20"/>
              </w:rPr>
              <w:t>2009</w:t>
            </w:r>
          </w:p>
        </w:tc>
        <w:tc>
          <w:tcPr>
            <w:tcW w:w="423" w:type="pct"/>
            <w:tcBorders>
              <w:top w:val="single" w:sz="4" w:space="0" w:color="000000"/>
              <w:left w:val="nil"/>
              <w:bottom w:val="single" w:sz="4" w:space="0" w:color="000000"/>
              <w:right w:val="single" w:sz="4" w:space="0" w:color="000000"/>
            </w:tcBorders>
            <w:shd w:val="clear" w:color="auto" w:fill="auto"/>
            <w:noWrap/>
            <w:vAlign w:val="center"/>
            <w:hideMark/>
          </w:tcPr>
          <w:p w14:paraId="4F817C7B" w14:textId="77777777" w:rsidR="009D4003" w:rsidRPr="003E3DFC" w:rsidRDefault="009D4003" w:rsidP="009D4003">
            <w:pPr>
              <w:spacing w:after="0"/>
              <w:jc w:val="center"/>
              <w:rPr>
                <w:rFonts w:eastAsia="Times New Roman"/>
                <w:b/>
                <w:sz w:val="22"/>
                <w:szCs w:val="20"/>
              </w:rPr>
            </w:pPr>
            <w:r w:rsidRPr="003E3DFC">
              <w:rPr>
                <w:rFonts w:eastAsia="Times New Roman"/>
                <w:b/>
                <w:sz w:val="22"/>
                <w:szCs w:val="20"/>
              </w:rPr>
              <w:t>2010</w:t>
            </w:r>
          </w:p>
        </w:tc>
        <w:tc>
          <w:tcPr>
            <w:tcW w:w="424" w:type="pct"/>
            <w:tcBorders>
              <w:top w:val="single" w:sz="4" w:space="0" w:color="000000"/>
              <w:left w:val="nil"/>
              <w:bottom w:val="single" w:sz="4" w:space="0" w:color="000000"/>
              <w:right w:val="single" w:sz="4" w:space="0" w:color="000000"/>
            </w:tcBorders>
            <w:shd w:val="clear" w:color="auto" w:fill="auto"/>
            <w:noWrap/>
            <w:vAlign w:val="center"/>
            <w:hideMark/>
          </w:tcPr>
          <w:p w14:paraId="359167A2" w14:textId="77777777" w:rsidR="009D4003" w:rsidRPr="003E3DFC" w:rsidRDefault="009D4003" w:rsidP="009D4003">
            <w:pPr>
              <w:spacing w:after="0"/>
              <w:jc w:val="center"/>
              <w:rPr>
                <w:rFonts w:eastAsia="Times New Roman"/>
                <w:b/>
                <w:sz w:val="22"/>
                <w:szCs w:val="20"/>
              </w:rPr>
            </w:pPr>
            <w:r w:rsidRPr="003E3DFC">
              <w:rPr>
                <w:rFonts w:eastAsia="Times New Roman"/>
                <w:b/>
                <w:sz w:val="22"/>
                <w:szCs w:val="20"/>
              </w:rPr>
              <w:t>2011</w:t>
            </w:r>
          </w:p>
        </w:tc>
        <w:tc>
          <w:tcPr>
            <w:tcW w:w="423" w:type="pct"/>
            <w:tcBorders>
              <w:top w:val="single" w:sz="4" w:space="0" w:color="000000"/>
              <w:left w:val="nil"/>
              <w:bottom w:val="single" w:sz="4" w:space="0" w:color="000000"/>
              <w:right w:val="single" w:sz="4" w:space="0" w:color="000000"/>
            </w:tcBorders>
            <w:shd w:val="clear" w:color="auto" w:fill="auto"/>
            <w:noWrap/>
            <w:vAlign w:val="center"/>
            <w:hideMark/>
          </w:tcPr>
          <w:p w14:paraId="26418061" w14:textId="77777777" w:rsidR="009D4003" w:rsidRPr="003E3DFC" w:rsidRDefault="009D4003" w:rsidP="009D4003">
            <w:pPr>
              <w:spacing w:after="0"/>
              <w:jc w:val="center"/>
              <w:rPr>
                <w:rFonts w:eastAsia="Times New Roman"/>
                <w:b/>
                <w:sz w:val="22"/>
                <w:szCs w:val="20"/>
              </w:rPr>
            </w:pPr>
            <w:r w:rsidRPr="003E3DFC">
              <w:rPr>
                <w:rFonts w:eastAsia="Times New Roman"/>
                <w:b/>
                <w:sz w:val="22"/>
                <w:szCs w:val="20"/>
              </w:rPr>
              <w:t>2012</w:t>
            </w:r>
          </w:p>
        </w:tc>
        <w:tc>
          <w:tcPr>
            <w:tcW w:w="424" w:type="pct"/>
            <w:tcBorders>
              <w:top w:val="single" w:sz="4" w:space="0" w:color="000000"/>
              <w:left w:val="nil"/>
              <w:bottom w:val="single" w:sz="4" w:space="0" w:color="000000"/>
              <w:right w:val="single" w:sz="4" w:space="0" w:color="000000"/>
            </w:tcBorders>
            <w:shd w:val="clear" w:color="auto" w:fill="auto"/>
            <w:noWrap/>
            <w:vAlign w:val="center"/>
            <w:hideMark/>
          </w:tcPr>
          <w:p w14:paraId="39E6CA80" w14:textId="77777777" w:rsidR="009D4003" w:rsidRPr="003E3DFC" w:rsidRDefault="009D4003" w:rsidP="009D4003">
            <w:pPr>
              <w:spacing w:after="0"/>
              <w:jc w:val="center"/>
              <w:rPr>
                <w:rFonts w:eastAsia="Times New Roman"/>
                <w:b/>
                <w:sz w:val="22"/>
                <w:szCs w:val="20"/>
              </w:rPr>
            </w:pPr>
            <w:r w:rsidRPr="003E3DFC">
              <w:rPr>
                <w:rFonts w:eastAsia="Times New Roman"/>
                <w:b/>
                <w:sz w:val="22"/>
                <w:szCs w:val="20"/>
              </w:rPr>
              <w:t>2013</w:t>
            </w:r>
          </w:p>
        </w:tc>
      </w:tr>
      <w:tr w:rsidR="00B80334" w:rsidRPr="003E3DFC" w14:paraId="49967221" w14:textId="77777777" w:rsidTr="009D4003">
        <w:trPr>
          <w:trHeight w:val="285"/>
        </w:trPr>
        <w:tc>
          <w:tcPr>
            <w:tcW w:w="767" w:type="pct"/>
            <w:tcBorders>
              <w:top w:val="nil"/>
              <w:left w:val="single" w:sz="4" w:space="0" w:color="000000"/>
              <w:bottom w:val="single" w:sz="4" w:space="0" w:color="000000"/>
              <w:right w:val="single" w:sz="4" w:space="0" w:color="000000"/>
            </w:tcBorders>
            <w:shd w:val="clear" w:color="auto" w:fill="auto"/>
            <w:noWrap/>
            <w:vAlign w:val="center"/>
            <w:hideMark/>
          </w:tcPr>
          <w:p w14:paraId="4776EF70" w14:textId="77777777" w:rsidR="009D4003" w:rsidRPr="003E3DFC" w:rsidRDefault="009D4003" w:rsidP="009D4003">
            <w:pPr>
              <w:spacing w:after="0"/>
              <w:jc w:val="left"/>
              <w:rPr>
                <w:rFonts w:eastAsia="Times New Roman"/>
                <w:b/>
                <w:sz w:val="22"/>
                <w:szCs w:val="20"/>
              </w:rPr>
            </w:pPr>
            <w:r w:rsidRPr="003E3DFC">
              <w:rPr>
                <w:rFonts w:eastAsia="Times New Roman"/>
                <w:b/>
                <w:sz w:val="22"/>
                <w:szCs w:val="20"/>
              </w:rPr>
              <w:t>Macedonia</w:t>
            </w:r>
          </w:p>
        </w:tc>
        <w:tc>
          <w:tcPr>
            <w:tcW w:w="423" w:type="pct"/>
            <w:tcBorders>
              <w:top w:val="nil"/>
              <w:left w:val="nil"/>
              <w:bottom w:val="single" w:sz="4" w:space="0" w:color="000000"/>
              <w:right w:val="single" w:sz="4" w:space="0" w:color="000000"/>
            </w:tcBorders>
            <w:shd w:val="clear" w:color="auto" w:fill="auto"/>
            <w:noWrap/>
            <w:vAlign w:val="center"/>
            <w:hideMark/>
          </w:tcPr>
          <w:p w14:paraId="38CC887C"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37.8</w:t>
            </w:r>
          </w:p>
        </w:tc>
        <w:tc>
          <w:tcPr>
            <w:tcW w:w="424" w:type="pct"/>
            <w:tcBorders>
              <w:top w:val="nil"/>
              <w:left w:val="nil"/>
              <w:bottom w:val="single" w:sz="4" w:space="0" w:color="000000"/>
              <w:right w:val="single" w:sz="4" w:space="0" w:color="000000"/>
            </w:tcBorders>
            <w:shd w:val="clear" w:color="auto" w:fill="auto"/>
            <w:noWrap/>
            <w:vAlign w:val="center"/>
            <w:hideMark/>
          </w:tcPr>
          <w:p w14:paraId="199CCCFF"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38.4</w:t>
            </w:r>
          </w:p>
        </w:tc>
        <w:tc>
          <w:tcPr>
            <w:tcW w:w="423" w:type="pct"/>
            <w:tcBorders>
              <w:top w:val="nil"/>
              <w:left w:val="nil"/>
              <w:bottom w:val="single" w:sz="4" w:space="0" w:color="000000"/>
              <w:right w:val="single" w:sz="4" w:space="0" w:color="000000"/>
            </w:tcBorders>
            <w:shd w:val="clear" w:color="auto" w:fill="auto"/>
            <w:noWrap/>
            <w:vAlign w:val="center"/>
            <w:hideMark/>
          </w:tcPr>
          <w:p w14:paraId="2F712536"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37.2</w:t>
            </w:r>
          </w:p>
        </w:tc>
        <w:tc>
          <w:tcPr>
            <w:tcW w:w="424" w:type="pct"/>
            <w:tcBorders>
              <w:top w:val="nil"/>
              <w:left w:val="nil"/>
              <w:bottom w:val="single" w:sz="4" w:space="0" w:color="000000"/>
              <w:right w:val="single" w:sz="4" w:space="0" w:color="000000"/>
            </w:tcBorders>
            <w:shd w:val="clear" w:color="auto" w:fill="auto"/>
            <w:noWrap/>
            <w:vAlign w:val="center"/>
            <w:hideMark/>
          </w:tcPr>
          <w:p w14:paraId="22AD428A"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35.5</w:t>
            </w:r>
          </w:p>
        </w:tc>
        <w:tc>
          <w:tcPr>
            <w:tcW w:w="423" w:type="pct"/>
            <w:tcBorders>
              <w:top w:val="nil"/>
              <w:left w:val="nil"/>
              <w:bottom w:val="single" w:sz="4" w:space="0" w:color="000000"/>
              <w:right w:val="single" w:sz="4" w:space="0" w:color="000000"/>
            </w:tcBorders>
            <w:shd w:val="clear" w:color="auto" w:fill="auto"/>
            <w:noWrap/>
            <w:vAlign w:val="center"/>
            <w:hideMark/>
          </w:tcPr>
          <w:p w14:paraId="6BDE6B44"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34.2</w:t>
            </w:r>
          </w:p>
        </w:tc>
        <w:tc>
          <w:tcPr>
            <w:tcW w:w="424" w:type="pct"/>
            <w:tcBorders>
              <w:top w:val="nil"/>
              <w:left w:val="nil"/>
              <w:bottom w:val="single" w:sz="4" w:space="0" w:color="000000"/>
              <w:right w:val="single" w:sz="4" w:space="0" w:color="000000"/>
            </w:tcBorders>
            <w:shd w:val="clear" w:color="auto" w:fill="auto"/>
            <w:noWrap/>
            <w:vAlign w:val="center"/>
            <w:hideMark/>
          </w:tcPr>
          <w:p w14:paraId="4EC60650"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32.8</w:t>
            </w:r>
          </w:p>
        </w:tc>
        <w:tc>
          <w:tcPr>
            <w:tcW w:w="423" w:type="pct"/>
            <w:tcBorders>
              <w:top w:val="nil"/>
              <w:left w:val="nil"/>
              <w:bottom w:val="single" w:sz="4" w:space="0" w:color="000000"/>
              <w:right w:val="single" w:sz="4" w:space="0" w:color="000000"/>
            </w:tcBorders>
            <w:shd w:val="clear" w:color="auto" w:fill="auto"/>
            <w:noWrap/>
            <w:vAlign w:val="center"/>
            <w:hideMark/>
          </w:tcPr>
          <w:p w14:paraId="1DED1996"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32.2</w:t>
            </w:r>
          </w:p>
        </w:tc>
        <w:tc>
          <w:tcPr>
            <w:tcW w:w="424" w:type="pct"/>
            <w:tcBorders>
              <w:top w:val="nil"/>
              <w:left w:val="nil"/>
              <w:bottom w:val="single" w:sz="4" w:space="0" w:color="000000"/>
              <w:right w:val="single" w:sz="4" w:space="0" w:color="000000"/>
            </w:tcBorders>
            <w:shd w:val="clear" w:color="auto" w:fill="auto"/>
            <w:noWrap/>
            <w:vAlign w:val="center"/>
            <w:hideMark/>
          </w:tcPr>
          <w:p w14:paraId="2BFB3FE6"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30.8</w:t>
            </w:r>
          </w:p>
        </w:tc>
        <w:tc>
          <w:tcPr>
            <w:tcW w:w="423" w:type="pct"/>
            <w:tcBorders>
              <w:top w:val="nil"/>
              <w:left w:val="nil"/>
              <w:bottom w:val="single" w:sz="4" w:space="0" w:color="000000"/>
              <w:right w:val="single" w:sz="4" w:space="0" w:color="000000"/>
            </w:tcBorders>
            <w:shd w:val="clear" w:color="auto" w:fill="auto"/>
            <w:noWrap/>
            <w:vAlign w:val="center"/>
            <w:hideMark/>
          </w:tcPr>
          <w:p w14:paraId="60CF1B11"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30.3</w:t>
            </w:r>
          </w:p>
        </w:tc>
        <w:tc>
          <w:tcPr>
            <w:tcW w:w="424" w:type="pct"/>
            <w:tcBorders>
              <w:top w:val="nil"/>
              <w:left w:val="nil"/>
              <w:bottom w:val="single" w:sz="4" w:space="0" w:color="000000"/>
              <w:right w:val="single" w:sz="4" w:space="0" w:color="000000"/>
            </w:tcBorders>
            <w:shd w:val="clear" w:color="auto" w:fill="auto"/>
            <w:noWrap/>
            <w:vAlign w:val="center"/>
            <w:hideMark/>
          </w:tcPr>
          <w:p w14:paraId="044E4414"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29.0</w:t>
            </w:r>
          </w:p>
        </w:tc>
      </w:tr>
      <w:tr w:rsidR="00B80334" w:rsidRPr="003E3DFC" w14:paraId="43DBC118" w14:textId="77777777" w:rsidTr="009D4003">
        <w:trPr>
          <w:trHeight w:val="285"/>
        </w:trPr>
        <w:tc>
          <w:tcPr>
            <w:tcW w:w="767" w:type="pct"/>
            <w:tcBorders>
              <w:top w:val="nil"/>
              <w:left w:val="single" w:sz="4" w:space="0" w:color="000000"/>
              <w:bottom w:val="single" w:sz="4" w:space="0" w:color="000000"/>
              <w:right w:val="single" w:sz="4" w:space="0" w:color="000000"/>
            </w:tcBorders>
            <w:shd w:val="clear" w:color="auto" w:fill="auto"/>
            <w:noWrap/>
            <w:vAlign w:val="center"/>
            <w:hideMark/>
          </w:tcPr>
          <w:p w14:paraId="2BA5450A" w14:textId="77777777" w:rsidR="009D4003" w:rsidRPr="003E3DFC" w:rsidRDefault="009D4003" w:rsidP="009D4003">
            <w:pPr>
              <w:spacing w:after="0"/>
              <w:jc w:val="left"/>
              <w:rPr>
                <w:rFonts w:eastAsia="Times New Roman"/>
                <w:b/>
                <w:sz w:val="22"/>
                <w:szCs w:val="20"/>
              </w:rPr>
            </w:pPr>
            <w:r w:rsidRPr="003E3DFC">
              <w:rPr>
                <w:rFonts w:eastAsia="Times New Roman"/>
                <w:b/>
                <w:sz w:val="22"/>
                <w:szCs w:val="20"/>
              </w:rPr>
              <w:t>Bulgaria</w:t>
            </w:r>
          </w:p>
        </w:tc>
        <w:tc>
          <w:tcPr>
            <w:tcW w:w="423" w:type="pct"/>
            <w:tcBorders>
              <w:top w:val="nil"/>
              <w:left w:val="nil"/>
              <w:bottom w:val="single" w:sz="4" w:space="0" w:color="000000"/>
              <w:right w:val="single" w:sz="4" w:space="0" w:color="000000"/>
            </w:tcBorders>
            <w:shd w:val="clear" w:color="auto" w:fill="auto"/>
            <w:noWrap/>
            <w:vAlign w:val="center"/>
            <w:hideMark/>
          </w:tcPr>
          <w:p w14:paraId="7E565D6E"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11.7</w:t>
            </w:r>
          </w:p>
        </w:tc>
        <w:tc>
          <w:tcPr>
            <w:tcW w:w="424" w:type="pct"/>
            <w:tcBorders>
              <w:top w:val="nil"/>
              <w:left w:val="nil"/>
              <w:bottom w:val="single" w:sz="4" w:space="0" w:color="000000"/>
              <w:right w:val="single" w:sz="4" w:space="0" w:color="000000"/>
            </w:tcBorders>
            <w:shd w:val="clear" w:color="auto" w:fill="auto"/>
            <w:noWrap/>
            <w:vAlign w:val="center"/>
            <w:hideMark/>
          </w:tcPr>
          <w:p w14:paraId="524B4C21"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9.9</w:t>
            </w:r>
          </w:p>
        </w:tc>
        <w:tc>
          <w:tcPr>
            <w:tcW w:w="423" w:type="pct"/>
            <w:tcBorders>
              <w:top w:val="nil"/>
              <w:left w:val="nil"/>
              <w:bottom w:val="single" w:sz="4" w:space="0" w:color="000000"/>
              <w:right w:val="single" w:sz="4" w:space="0" w:color="000000"/>
            </w:tcBorders>
            <w:shd w:val="clear" w:color="auto" w:fill="auto"/>
            <w:noWrap/>
            <w:vAlign w:val="center"/>
            <w:hideMark/>
          </w:tcPr>
          <w:p w14:paraId="2DB481E7"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9.3</w:t>
            </w:r>
          </w:p>
        </w:tc>
        <w:tc>
          <w:tcPr>
            <w:tcW w:w="424" w:type="pct"/>
            <w:tcBorders>
              <w:top w:val="nil"/>
              <w:left w:val="nil"/>
              <w:bottom w:val="single" w:sz="4" w:space="0" w:color="000000"/>
              <w:right w:val="single" w:sz="4" w:space="0" w:color="000000"/>
            </w:tcBorders>
            <w:shd w:val="clear" w:color="auto" w:fill="auto"/>
            <w:noWrap/>
            <w:vAlign w:val="center"/>
            <w:hideMark/>
          </w:tcPr>
          <w:p w14:paraId="00E854B0"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7.3</w:t>
            </w:r>
          </w:p>
        </w:tc>
        <w:tc>
          <w:tcPr>
            <w:tcW w:w="423" w:type="pct"/>
            <w:tcBorders>
              <w:top w:val="nil"/>
              <w:left w:val="nil"/>
              <w:bottom w:val="single" w:sz="4" w:space="0" w:color="000000"/>
              <w:right w:val="single" w:sz="4" w:space="0" w:color="000000"/>
            </w:tcBorders>
            <w:shd w:val="clear" w:color="auto" w:fill="auto"/>
            <w:noWrap/>
            <w:vAlign w:val="center"/>
            <w:hideMark/>
          </w:tcPr>
          <w:p w14:paraId="6C058846"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5.8</w:t>
            </w:r>
          </w:p>
        </w:tc>
        <w:tc>
          <w:tcPr>
            <w:tcW w:w="424" w:type="pct"/>
            <w:tcBorders>
              <w:top w:val="nil"/>
              <w:left w:val="nil"/>
              <w:bottom w:val="single" w:sz="4" w:space="0" w:color="000000"/>
              <w:right w:val="single" w:sz="4" w:space="0" w:color="000000"/>
            </w:tcBorders>
            <w:shd w:val="clear" w:color="auto" w:fill="auto"/>
            <w:noWrap/>
            <w:vAlign w:val="center"/>
            <w:hideMark/>
          </w:tcPr>
          <w:p w14:paraId="2B49E94E"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6.7</w:t>
            </w:r>
          </w:p>
        </w:tc>
        <w:tc>
          <w:tcPr>
            <w:tcW w:w="423" w:type="pct"/>
            <w:tcBorders>
              <w:top w:val="nil"/>
              <w:left w:val="nil"/>
              <w:bottom w:val="single" w:sz="4" w:space="0" w:color="000000"/>
              <w:right w:val="single" w:sz="4" w:space="0" w:color="000000"/>
            </w:tcBorders>
            <w:shd w:val="clear" w:color="auto" w:fill="auto"/>
            <w:noWrap/>
            <w:vAlign w:val="center"/>
            <w:hideMark/>
          </w:tcPr>
          <w:p w14:paraId="4D882EBA"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9.5</w:t>
            </w:r>
          </w:p>
        </w:tc>
        <w:tc>
          <w:tcPr>
            <w:tcW w:w="424" w:type="pct"/>
            <w:tcBorders>
              <w:top w:val="nil"/>
              <w:left w:val="nil"/>
              <w:bottom w:val="single" w:sz="4" w:space="0" w:color="000000"/>
              <w:right w:val="single" w:sz="4" w:space="0" w:color="000000"/>
            </w:tcBorders>
            <w:shd w:val="clear" w:color="auto" w:fill="auto"/>
            <w:noWrap/>
            <w:vAlign w:val="center"/>
            <w:hideMark/>
          </w:tcPr>
          <w:p w14:paraId="7C7563CB"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10.1</w:t>
            </w:r>
          </w:p>
        </w:tc>
        <w:tc>
          <w:tcPr>
            <w:tcW w:w="423" w:type="pct"/>
            <w:tcBorders>
              <w:top w:val="nil"/>
              <w:left w:val="nil"/>
              <w:bottom w:val="single" w:sz="4" w:space="0" w:color="000000"/>
              <w:right w:val="single" w:sz="4" w:space="0" w:color="000000"/>
            </w:tcBorders>
            <w:shd w:val="clear" w:color="auto" w:fill="auto"/>
            <w:noWrap/>
            <w:vAlign w:val="center"/>
            <w:hideMark/>
          </w:tcPr>
          <w:p w14:paraId="3E8254DD"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10.9</w:t>
            </w:r>
          </w:p>
        </w:tc>
        <w:tc>
          <w:tcPr>
            <w:tcW w:w="424" w:type="pct"/>
            <w:tcBorders>
              <w:top w:val="nil"/>
              <w:left w:val="nil"/>
              <w:bottom w:val="single" w:sz="4" w:space="0" w:color="000000"/>
              <w:right w:val="single" w:sz="4" w:space="0" w:color="000000"/>
            </w:tcBorders>
            <w:shd w:val="clear" w:color="auto" w:fill="auto"/>
            <w:noWrap/>
            <w:vAlign w:val="center"/>
            <w:hideMark/>
          </w:tcPr>
          <w:p w14:paraId="28FE6E57"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11.9</w:t>
            </w:r>
          </w:p>
        </w:tc>
      </w:tr>
      <w:tr w:rsidR="00B80334" w:rsidRPr="003E3DFC" w14:paraId="36A2E19E" w14:textId="77777777" w:rsidTr="009D4003">
        <w:trPr>
          <w:trHeight w:val="285"/>
        </w:trPr>
        <w:tc>
          <w:tcPr>
            <w:tcW w:w="767" w:type="pct"/>
            <w:tcBorders>
              <w:top w:val="nil"/>
              <w:left w:val="single" w:sz="4" w:space="0" w:color="000000"/>
              <w:bottom w:val="single" w:sz="4" w:space="0" w:color="000000"/>
              <w:right w:val="single" w:sz="4" w:space="0" w:color="000000"/>
            </w:tcBorders>
            <w:shd w:val="clear" w:color="auto" w:fill="auto"/>
            <w:noWrap/>
            <w:vAlign w:val="center"/>
            <w:hideMark/>
          </w:tcPr>
          <w:p w14:paraId="608B861D" w14:textId="77777777" w:rsidR="009D4003" w:rsidRPr="003E3DFC" w:rsidRDefault="009D4003" w:rsidP="009D4003">
            <w:pPr>
              <w:spacing w:after="0"/>
              <w:jc w:val="left"/>
              <w:rPr>
                <w:rFonts w:eastAsia="Times New Roman"/>
                <w:b/>
                <w:sz w:val="22"/>
                <w:szCs w:val="20"/>
              </w:rPr>
            </w:pPr>
            <w:r w:rsidRPr="003E3DFC">
              <w:rPr>
                <w:rFonts w:eastAsia="Times New Roman"/>
                <w:b/>
                <w:sz w:val="22"/>
                <w:szCs w:val="20"/>
              </w:rPr>
              <w:t>Greece</w:t>
            </w:r>
          </w:p>
        </w:tc>
        <w:tc>
          <w:tcPr>
            <w:tcW w:w="423" w:type="pct"/>
            <w:tcBorders>
              <w:top w:val="nil"/>
              <w:left w:val="nil"/>
              <w:bottom w:val="single" w:sz="4" w:space="0" w:color="000000"/>
              <w:right w:val="single" w:sz="4" w:space="0" w:color="000000"/>
            </w:tcBorders>
            <w:shd w:val="clear" w:color="auto" w:fill="auto"/>
            <w:noWrap/>
            <w:vAlign w:val="center"/>
            <w:hideMark/>
          </w:tcPr>
          <w:p w14:paraId="63A502EA"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16.1</w:t>
            </w:r>
          </w:p>
        </w:tc>
        <w:tc>
          <w:tcPr>
            <w:tcW w:w="424" w:type="pct"/>
            <w:tcBorders>
              <w:top w:val="nil"/>
              <w:left w:val="nil"/>
              <w:bottom w:val="single" w:sz="4" w:space="0" w:color="000000"/>
              <w:right w:val="single" w:sz="4" w:space="0" w:color="000000"/>
            </w:tcBorders>
            <w:shd w:val="clear" w:color="auto" w:fill="auto"/>
            <w:noWrap/>
            <w:vAlign w:val="center"/>
            <w:hideMark/>
          </w:tcPr>
          <w:p w14:paraId="4C6DB8ED"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15.6</w:t>
            </w:r>
          </w:p>
        </w:tc>
        <w:tc>
          <w:tcPr>
            <w:tcW w:w="423" w:type="pct"/>
            <w:tcBorders>
              <w:top w:val="nil"/>
              <w:left w:val="nil"/>
              <w:bottom w:val="single" w:sz="4" w:space="0" w:color="000000"/>
              <w:right w:val="single" w:sz="4" w:space="0" w:color="000000"/>
            </w:tcBorders>
            <w:shd w:val="clear" w:color="auto" w:fill="auto"/>
            <w:noWrap/>
            <w:vAlign w:val="center"/>
            <w:hideMark/>
          </w:tcPr>
          <w:p w14:paraId="285C47D9"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13.9</w:t>
            </w:r>
          </w:p>
        </w:tc>
        <w:tc>
          <w:tcPr>
            <w:tcW w:w="424" w:type="pct"/>
            <w:tcBorders>
              <w:top w:val="nil"/>
              <w:left w:val="nil"/>
              <w:bottom w:val="single" w:sz="4" w:space="0" w:color="000000"/>
              <w:right w:val="single" w:sz="4" w:space="0" w:color="000000"/>
            </w:tcBorders>
            <w:shd w:val="clear" w:color="auto" w:fill="auto"/>
            <w:noWrap/>
            <w:vAlign w:val="center"/>
            <w:hideMark/>
          </w:tcPr>
          <w:p w14:paraId="773D0AF3"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13.0</w:t>
            </w:r>
          </w:p>
        </w:tc>
        <w:tc>
          <w:tcPr>
            <w:tcW w:w="423" w:type="pct"/>
            <w:tcBorders>
              <w:top w:val="nil"/>
              <w:left w:val="nil"/>
              <w:bottom w:val="single" w:sz="4" w:space="0" w:color="000000"/>
              <w:right w:val="single" w:sz="4" w:space="0" w:color="000000"/>
            </w:tcBorders>
            <w:shd w:val="clear" w:color="auto" w:fill="auto"/>
            <w:noWrap/>
            <w:vAlign w:val="center"/>
            <w:hideMark/>
          </w:tcPr>
          <w:p w14:paraId="7BD9F22D"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11.6</w:t>
            </w:r>
          </w:p>
        </w:tc>
        <w:tc>
          <w:tcPr>
            <w:tcW w:w="424" w:type="pct"/>
            <w:tcBorders>
              <w:top w:val="nil"/>
              <w:left w:val="nil"/>
              <w:bottom w:val="single" w:sz="4" w:space="0" w:color="000000"/>
              <w:right w:val="single" w:sz="4" w:space="0" w:color="000000"/>
            </w:tcBorders>
            <w:shd w:val="clear" w:color="auto" w:fill="auto"/>
            <w:noWrap/>
            <w:vAlign w:val="center"/>
            <w:hideMark/>
          </w:tcPr>
          <w:p w14:paraId="732CA9BF"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13.4</w:t>
            </w:r>
          </w:p>
        </w:tc>
        <w:tc>
          <w:tcPr>
            <w:tcW w:w="423" w:type="pct"/>
            <w:tcBorders>
              <w:top w:val="nil"/>
              <w:left w:val="nil"/>
              <w:bottom w:val="single" w:sz="4" w:space="0" w:color="000000"/>
              <w:right w:val="single" w:sz="4" w:space="0" w:color="000000"/>
            </w:tcBorders>
            <w:shd w:val="clear" w:color="auto" w:fill="auto"/>
            <w:noWrap/>
            <w:vAlign w:val="center"/>
            <w:hideMark/>
          </w:tcPr>
          <w:p w14:paraId="1378F8E7"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16.5</w:t>
            </w:r>
          </w:p>
        </w:tc>
        <w:tc>
          <w:tcPr>
            <w:tcW w:w="424" w:type="pct"/>
            <w:tcBorders>
              <w:top w:val="nil"/>
              <w:left w:val="nil"/>
              <w:bottom w:val="single" w:sz="4" w:space="0" w:color="000000"/>
              <w:right w:val="single" w:sz="4" w:space="0" w:color="000000"/>
            </w:tcBorders>
            <w:shd w:val="clear" w:color="auto" w:fill="auto"/>
            <w:noWrap/>
            <w:vAlign w:val="center"/>
            <w:hideMark/>
          </w:tcPr>
          <w:p w14:paraId="22F17AC7"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21.7</w:t>
            </w:r>
          </w:p>
        </w:tc>
        <w:tc>
          <w:tcPr>
            <w:tcW w:w="423" w:type="pct"/>
            <w:tcBorders>
              <w:top w:val="nil"/>
              <w:left w:val="nil"/>
              <w:bottom w:val="single" w:sz="4" w:space="0" w:color="000000"/>
              <w:right w:val="single" w:sz="4" w:space="0" w:color="000000"/>
            </w:tcBorders>
            <w:shd w:val="clear" w:color="auto" w:fill="auto"/>
            <w:noWrap/>
            <w:vAlign w:val="center"/>
            <w:hideMark/>
          </w:tcPr>
          <w:p w14:paraId="24FFFB5D"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28.4</w:t>
            </w:r>
          </w:p>
        </w:tc>
        <w:tc>
          <w:tcPr>
            <w:tcW w:w="424" w:type="pct"/>
            <w:tcBorders>
              <w:top w:val="nil"/>
              <w:left w:val="nil"/>
              <w:bottom w:val="single" w:sz="4" w:space="0" w:color="000000"/>
              <w:right w:val="single" w:sz="4" w:space="0" w:color="000000"/>
            </w:tcBorders>
            <w:shd w:val="clear" w:color="auto" w:fill="auto"/>
            <w:noWrap/>
            <w:vAlign w:val="center"/>
            <w:hideMark/>
          </w:tcPr>
          <w:p w14:paraId="0B5AD4D0"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31.6</w:t>
            </w:r>
          </w:p>
        </w:tc>
      </w:tr>
      <w:tr w:rsidR="00B80334" w:rsidRPr="003E3DFC" w14:paraId="05A6D6B8" w14:textId="77777777" w:rsidTr="009D4003">
        <w:trPr>
          <w:trHeight w:val="285"/>
        </w:trPr>
        <w:tc>
          <w:tcPr>
            <w:tcW w:w="767" w:type="pct"/>
            <w:tcBorders>
              <w:top w:val="nil"/>
              <w:left w:val="single" w:sz="4" w:space="0" w:color="000000"/>
              <w:bottom w:val="single" w:sz="4" w:space="0" w:color="000000"/>
              <w:right w:val="single" w:sz="4" w:space="0" w:color="000000"/>
            </w:tcBorders>
            <w:shd w:val="clear" w:color="auto" w:fill="auto"/>
            <w:noWrap/>
            <w:vAlign w:val="center"/>
            <w:hideMark/>
          </w:tcPr>
          <w:p w14:paraId="21B62AC4" w14:textId="77777777" w:rsidR="009D4003" w:rsidRPr="003E3DFC" w:rsidRDefault="009D4003" w:rsidP="009D4003">
            <w:pPr>
              <w:spacing w:after="0"/>
              <w:jc w:val="left"/>
              <w:rPr>
                <w:rFonts w:eastAsia="Times New Roman"/>
                <w:b/>
                <w:sz w:val="22"/>
                <w:szCs w:val="20"/>
              </w:rPr>
            </w:pPr>
            <w:r w:rsidRPr="003E3DFC">
              <w:rPr>
                <w:rFonts w:eastAsia="Times New Roman"/>
                <w:b/>
                <w:sz w:val="22"/>
                <w:szCs w:val="20"/>
              </w:rPr>
              <w:t>Croatia</w:t>
            </w:r>
          </w:p>
        </w:tc>
        <w:tc>
          <w:tcPr>
            <w:tcW w:w="423" w:type="pct"/>
            <w:tcBorders>
              <w:top w:val="nil"/>
              <w:left w:val="nil"/>
              <w:bottom w:val="single" w:sz="4" w:space="0" w:color="000000"/>
              <w:right w:val="single" w:sz="4" w:space="0" w:color="000000"/>
            </w:tcBorders>
            <w:shd w:val="clear" w:color="auto" w:fill="auto"/>
            <w:noWrap/>
            <w:vAlign w:val="center"/>
            <w:hideMark/>
          </w:tcPr>
          <w:p w14:paraId="649355CD"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15.8</w:t>
            </w:r>
          </w:p>
        </w:tc>
        <w:tc>
          <w:tcPr>
            <w:tcW w:w="424" w:type="pct"/>
            <w:tcBorders>
              <w:top w:val="nil"/>
              <w:left w:val="nil"/>
              <w:bottom w:val="single" w:sz="4" w:space="0" w:color="000000"/>
              <w:right w:val="single" w:sz="4" w:space="0" w:color="000000"/>
            </w:tcBorders>
            <w:shd w:val="clear" w:color="auto" w:fill="auto"/>
            <w:noWrap/>
            <w:vAlign w:val="center"/>
            <w:hideMark/>
          </w:tcPr>
          <w:p w14:paraId="034F86F2"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14.3</w:t>
            </w:r>
          </w:p>
        </w:tc>
        <w:tc>
          <w:tcPr>
            <w:tcW w:w="423" w:type="pct"/>
            <w:tcBorders>
              <w:top w:val="nil"/>
              <w:left w:val="nil"/>
              <w:bottom w:val="single" w:sz="4" w:space="0" w:color="000000"/>
              <w:right w:val="single" w:sz="4" w:space="0" w:color="000000"/>
            </w:tcBorders>
            <w:shd w:val="clear" w:color="auto" w:fill="auto"/>
            <w:noWrap/>
            <w:vAlign w:val="center"/>
            <w:hideMark/>
          </w:tcPr>
          <w:p w14:paraId="1CF8B3DA"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13.2</w:t>
            </w:r>
          </w:p>
        </w:tc>
        <w:tc>
          <w:tcPr>
            <w:tcW w:w="424" w:type="pct"/>
            <w:tcBorders>
              <w:top w:val="nil"/>
              <w:left w:val="nil"/>
              <w:bottom w:val="single" w:sz="4" w:space="0" w:color="000000"/>
              <w:right w:val="single" w:sz="4" w:space="0" w:color="000000"/>
            </w:tcBorders>
            <w:shd w:val="clear" w:color="auto" w:fill="auto"/>
            <w:noWrap/>
            <w:vAlign w:val="center"/>
            <w:hideMark/>
          </w:tcPr>
          <w:p w14:paraId="0C18860C"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11.6</w:t>
            </w:r>
          </w:p>
        </w:tc>
        <w:tc>
          <w:tcPr>
            <w:tcW w:w="423" w:type="pct"/>
            <w:tcBorders>
              <w:top w:val="nil"/>
              <w:left w:val="nil"/>
              <w:bottom w:val="single" w:sz="4" w:space="0" w:color="000000"/>
              <w:right w:val="single" w:sz="4" w:space="0" w:color="000000"/>
            </w:tcBorders>
            <w:shd w:val="clear" w:color="auto" w:fill="auto"/>
            <w:noWrap/>
            <w:vAlign w:val="center"/>
            <w:hideMark/>
          </w:tcPr>
          <w:p w14:paraId="23DB284B"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10.6</w:t>
            </w:r>
          </w:p>
        </w:tc>
        <w:tc>
          <w:tcPr>
            <w:tcW w:w="424" w:type="pct"/>
            <w:tcBorders>
              <w:top w:val="nil"/>
              <w:left w:val="nil"/>
              <w:bottom w:val="single" w:sz="4" w:space="0" w:color="000000"/>
              <w:right w:val="single" w:sz="4" w:space="0" w:color="000000"/>
            </w:tcBorders>
            <w:shd w:val="clear" w:color="auto" w:fill="auto"/>
            <w:noWrap/>
            <w:vAlign w:val="center"/>
            <w:hideMark/>
          </w:tcPr>
          <w:p w14:paraId="29A585FC"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11.0</w:t>
            </w:r>
          </w:p>
        </w:tc>
        <w:tc>
          <w:tcPr>
            <w:tcW w:w="423" w:type="pct"/>
            <w:tcBorders>
              <w:top w:val="nil"/>
              <w:left w:val="nil"/>
              <w:bottom w:val="single" w:sz="4" w:space="0" w:color="000000"/>
              <w:right w:val="single" w:sz="4" w:space="0" w:color="000000"/>
            </w:tcBorders>
            <w:shd w:val="clear" w:color="auto" w:fill="auto"/>
            <w:noWrap/>
            <w:vAlign w:val="center"/>
            <w:hideMark/>
          </w:tcPr>
          <w:p w14:paraId="4E11EBFD"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12.6</w:t>
            </w:r>
          </w:p>
        </w:tc>
        <w:tc>
          <w:tcPr>
            <w:tcW w:w="424" w:type="pct"/>
            <w:tcBorders>
              <w:top w:val="nil"/>
              <w:left w:val="nil"/>
              <w:bottom w:val="single" w:sz="4" w:space="0" w:color="000000"/>
              <w:right w:val="single" w:sz="4" w:space="0" w:color="000000"/>
            </w:tcBorders>
            <w:shd w:val="clear" w:color="auto" w:fill="auto"/>
            <w:noWrap/>
            <w:vAlign w:val="center"/>
            <w:hideMark/>
          </w:tcPr>
          <w:p w14:paraId="209721C7"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14.0</w:t>
            </w:r>
          </w:p>
        </w:tc>
        <w:tc>
          <w:tcPr>
            <w:tcW w:w="423" w:type="pct"/>
            <w:tcBorders>
              <w:top w:val="nil"/>
              <w:left w:val="nil"/>
              <w:bottom w:val="single" w:sz="4" w:space="0" w:color="000000"/>
              <w:right w:val="single" w:sz="4" w:space="0" w:color="000000"/>
            </w:tcBorders>
            <w:shd w:val="clear" w:color="auto" w:fill="auto"/>
            <w:noWrap/>
            <w:vAlign w:val="center"/>
            <w:hideMark/>
          </w:tcPr>
          <w:p w14:paraId="60F7931A"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16.3</w:t>
            </w:r>
          </w:p>
        </w:tc>
        <w:tc>
          <w:tcPr>
            <w:tcW w:w="424" w:type="pct"/>
            <w:tcBorders>
              <w:top w:val="nil"/>
              <w:left w:val="nil"/>
              <w:bottom w:val="single" w:sz="4" w:space="0" w:color="000000"/>
              <w:right w:val="single" w:sz="4" w:space="0" w:color="000000"/>
            </w:tcBorders>
            <w:shd w:val="clear" w:color="auto" w:fill="auto"/>
            <w:noWrap/>
            <w:vAlign w:val="center"/>
            <w:hideMark/>
          </w:tcPr>
          <w:p w14:paraId="14D3350C"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17.0</w:t>
            </w:r>
          </w:p>
        </w:tc>
      </w:tr>
      <w:tr w:rsidR="00B80334" w:rsidRPr="003E3DFC" w14:paraId="1283B394" w14:textId="77777777" w:rsidTr="009D4003">
        <w:trPr>
          <w:trHeight w:val="285"/>
        </w:trPr>
        <w:tc>
          <w:tcPr>
            <w:tcW w:w="767" w:type="pct"/>
            <w:tcBorders>
              <w:top w:val="nil"/>
              <w:left w:val="single" w:sz="4" w:space="0" w:color="000000"/>
              <w:bottom w:val="single" w:sz="4" w:space="0" w:color="000000"/>
              <w:right w:val="single" w:sz="4" w:space="0" w:color="000000"/>
            </w:tcBorders>
            <w:shd w:val="clear" w:color="auto" w:fill="auto"/>
            <w:noWrap/>
            <w:vAlign w:val="center"/>
            <w:hideMark/>
          </w:tcPr>
          <w:p w14:paraId="6C87FDA6" w14:textId="77777777" w:rsidR="009D4003" w:rsidRPr="003E3DFC" w:rsidRDefault="009D4003" w:rsidP="009D4003">
            <w:pPr>
              <w:spacing w:after="0"/>
              <w:jc w:val="left"/>
              <w:rPr>
                <w:rFonts w:eastAsia="Times New Roman"/>
                <w:b/>
                <w:sz w:val="22"/>
                <w:szCs w:val="20"/>
              </w:rPr>
            </w:pPr>
            <w:r w:rsidRPr="003E3DFC">
              <w:rPr>
                <w:rFonts w:eastAsia="Times New Roman"/>
                <w:b/>
                <w:sz w:val="22"/>
                <w:szCs w:val="20"/>
              </w:rPr>
              <w:t>Slovenia</w:t>
            </w:r>
          </w:p>
        </w:tc>
        <w:tc>
          <w:tcPr>
            <w:tcW w:w="423" w:type="pct"/>
            <w:tcBorders>
              <w:top w:val="nil"/>
              <w:left w:val="nil"/>
              <w:bottom w:val="single" w:sz="4" w:space="0" w:color="000000"/>
              <w:right w:val="single" w:sz="4" w:space="0" w:color="000000"/>
            </w:tcBorders>
            <w:shd w:val="clear" w:color="auto" w:fill="auto"/>
            <w:noWrap/>
            <w:vAlign w:val="center"/>
            <w:hideMark/>
          </w:tcPr>
          <w:p w14:paraId="381ABAF9"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6.5</w:t>
            </w:r>
          </w:p>
        </w:tc>
        <w:tc>
          <w:tcPr>
            <w:tcW w:w="424" w:type="pct"/>
            <w:tcBorders>
              <w:top w:val="nil"/>
              <w:left w:val="nil"/>
              <w:bottom w:val="single" w:sz="4" w:space="0" w:color="000000"/>
              <w:right w:val="single" w:sz="4" w:space="0" w:color="000000"/>
            </w:tcBorders>
            <w:shd w:val="clear" w:color="auto" w:fill="auto"/>
            <w:noWrap/>
            <w:vAlign w:val="center"/>
            <w:hideMark/>
          </w:tcPr>
          <w:p w14:paraId="7483AB0F"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7.2</w:t>
            </w:r>
          </w:p>
        </w:tc>
        <w:tc>
          <w:tcPr>
            <w:tcW w:w="423" w:type="pct"/>
            <w:tcBorders>
              <w:top w:val="nil"/>
              <w:left w:val="nil"/>
              <w:bottom w:val="single" w:sz="4" w:space="0" w:color="000000"/>
              <w:right w:val="single" w:sz="4" w:space="0" w:color="000000"/>
            </w:tcBorders>
            <w:shd w:val="clear" w:color="auto" w:fill="auto"/>
            <w:noWrap/>
            <w:vAlign w:val="center"/>
            <w:hideMark/>
          </w:tcPr>
          <w:p w14:paraId="7A465F06"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7.4</w:t>
            </w:r>
          </w:p>
        </w:tc>
        <w:tc>
          <w:tcPr>
            <w:tcW w:w="424" w:type="pct"/>
            <w:tcBorders>
              <w:top w:val="nil"/>
              <w:left w:val="nil"/>
              <w:bottom w:val="single" w:sz="4" w:space="0" w:color="000000"/>
              <w:right w:val="single" w:sz="4" w:space="0" w:color="000000"/>
            </w:tcBorders>
            <w:shd w:val="clear" w:color="auto" w:fill="auto"/>
            <w:noWrap/>
            <w:vAlign w:val="center"/>
            <w:hideMark/>
          </w:tcPr>
          <w:p w14:paraId="78B85DB1"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6.0</w:t>
            </w:r>
          </w:p>
        </w:tc>
        <w:tc>
          <w:tcPr>
            <w:tcW w:w="423" w:type="pct"/>
            <w:tcBorders>
              <w:top w:val="nil"/>
              <w:left w:val="nil"/>
              <w:bottom w:val="single" w:sz="4" w:space="0" w:color="000000"/>
              <w:right w:val="single" w:sz="4" w:space="0" w:color="000000"/>
            </w:tcBorders>
            <w:shd w:val="clear" w:color="auto" w:fill="auto"/>
            <w:noWrap/>
            <w:vAlign w:val="center"/>
            <w:hideMark/>
          </w:tcPr>
          <w:p w14:paraId="53EF3A86"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4.9</w:t>
            </w:r>
          </w:p>
        </w:tc>
        <w:tc>
          <w:tcPr>
            <w:tcW w:w="424" w:type="pct"/>
            <w:tcBorders>
              <w:top w:val="nil"/>
              <w:left w:val="nil"/>
              <w:bottom w:val="single" w:sz="4" w:space="0" w:color="000000"/>
              <w:right w:val="single" w:sz="4" w:space="0" w:color="000000"/>
            </w:tcBorders>
            <w:shd w:val="clear" w:color="auto" w:fill="auto"/>
            <w:noWrap/>
            <w:vAlign w:val="center"/>
            <w:hideMark/>
          </w:tcPr>
          <w:p w14:paraId="1BA4FDD3"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5.9</w:t>
            </w:r>
          </w:p>
        </w:tc>
        <w:tc>
          <w:tcPr>
            <w:tcW w:w="423" w:type="pct"/>
            <w:tcBorders>
              <w:top w:val="nil"/>
              <w:left w:val="nil"/>
              <w:bottom w:val="single" w:sz="4" w:space="0" w:color="000000"/>
              <w:right w:val="single" w:sz="4" w:space="0" w:color="000000"/>
            </w:tcBorders>
            <w:shd w:val="clear" w:color="auto" w:fill="auto"/>
            <w:noWrap/>
            <w:vAlign w:val="center"/>
            <w:hideMark/>
          </w:tcPr>
          <w:p w14:paraId="23AA44A5"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7.2</w:t>
            </w:r>
          </w:p>
        </w:tc>
        <w:tc>
          <w:tcPr>
            <w:tcW w:w="424" w:type="pct"/>
            <w:tcBorders>
              <w:top w:val="nil"/>
              <w:left w:val="nil"/>
              <w:bottom w:val="single" w:sz="4" w:space="0" w:color="000000"/>
              <w:right w:val="single" w:sz="4" w:space="0" w:color="000000"/>
            </w:tcBorders>
            <w:shd w:val="clear" w:color="auto" w:fill="auto"/>
            <w:noWrap/>
            <w:vAlign w:val="center"/>
            <w:hideMark/>
          </w:tcPr>
          <w:p w14:paraId="5618423C"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8.3</w:t>
            </w:r>
          </w:p>
        </w:tc>
        <w:tc>
          <w:tcPr>
            <w:tcW w:w="423" w:type="pct"/>
            <w:tcBorders>
              <w:top w:val="nil"/>
              <w:left w:val="nil"/>
              <w:bottom w:val="single" w:sz="4" w:space="0" w:color="000000"/>
              <w:right w:val="single" w:sz="4" w:space="0" w:color="000000"/>
            </w:tcBorders>
            <w:shd w:val="clear" w:color="auto" w:fill="auto"/>
            <w:noWrap/>
            <w:vAlign w:val="center"/>
            <w:hideMark/>
          </w:tcPr>
          <w:p w14:paraId="7BB1DEE5"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9.5</w:t>
            </w:r>
          </w:p>
        </w:tc>
        <w:tc>
          <w:tcPr>
            <w:tcW w:w="424" w:type="pct"/>
            <w:tcBorders>
              <w:top w:val="nil"/>
              <w:left w:val="nil"/>
              <w:bottom w:val="single" w:sz="4" w:space="0" w:color="000000"/>
              <w:right w:val="single" w:sz="4" w:space="0" w:color="000000"/>
            </w:tcBorders>
            <w:shd w:val="clear" w:color="auto" w:fill="auto"/>
            <w:noWrap/>
            <w:vAlign w:val="center"/>
            <w:hideMark/>
          </w:tcPr>
          <w:p w14:paraId="71C0F4FE" w14:textId="77777777" w:rsidR="009D4003" w:rsidRPr="003E3DFC" w:rsidRDefault="009D4003" w:rsidP="009D4003">
            <w:pPr>
              <w:spacing w:after="0"/>
              <w:jc w:val="center"/>
              <w:rPr>
                <w:rFonts w:eastAsia="Times New Roman"/>
                <w:sz w:val="22"/>
                <w:szCs w:val="20"/>
              </w:rPr>
            </w:pPr>
            <w:r w:rsidRPr="003E3DFC">
              <w:rPr>
                <w:rFonts w:eastAsia="Times New Roman"/>
                <w:sz w:val="22"/>
                <w:szCs w:val="20"/>
              </w:rPr>
              <w:t>11.1</w:t>
            </w:r>
          </w:p>
        </w:tc>
      </w:tr>
    </w:tbl>
    <w:p w14:paraId="09769FAD" w14:textId="623044B6" w:rsidR="000854B4" w:rsidRPr="003E3DFC" w:rsidRDefault="000854B4" w:rsidP="000854B4">
      <w:pPr>
        <w:pStyle w:val="NoSpacing"/>
        <w:rPr>
          <w:lang w:val="en-GB"/>
        </w:rPr>
      </w:pPr>
      <w:r w:rsidRPr="003E3DFC">
        <w:rPr>
          <w:lang w:val="en-GB"/>
        </w:rPr>
        <w:t xml:space="preserve">Source: </w:t>
      </w:r>
      <w:r w:rsidR="003F1A12" w:rsidRPr="003E3DFC">
        <w:rPr>
          <w:lang w:val="en-GB"/>
        </w:rPr>
        <w:t xml:space="preserve">Author’s own work based on LFS data from </w:t>
      </w:r>
      <w:r w:rsidRPr="003E3DFC">
        <w:rPr>
          <w:lang w:val="en-GB"/>
        </w:rPr>
        <w:t xml:space="preserve">State Statistical Office of </w:t>
      </w:r>
      <w:r w:rsidR="00C30864" w:rsidRPr="003E3DFC">
        <w:rPr>
          <w:lang w:val="en-GB"/>
        </w:rPr>
        <w:t>R. of Macedonia</w:t>
      </w:r>
      <w:r w:rsidRPr="003E3DFC">
        <w:rPr>
          <w:lang w:val="en-GB"/>
        </w:rPr>
        <w:t xml:space="preserve"> and Eurostat</w:t>
      </w:r>
    </w:p>
    <w:p w14:paraId="26D85504" w14:textId="77777777" w:rsidR="00903FF7" w:rsidRPr="003E3DFC" w:rsidRDefault="00903FF7" w:rsidP="006303F6">
      <w:pPr>
        <w:pStyle w:val="NoSpacing"/>
        <w:rPr>
          <w:lang w:val="en-GB"/>
        </w:rPr>
      </w:pPr>
    </w:p>
    <w:p w14:paraId="54423186" w14:textId="1FAB8F0C" w:rsidR="004D369F" w:rsidRPr="003E3DFC" w:rsidRDefault="004363A8" w:rsidP="006303F6">
      <w:pPr>
        <w:pStyle w:val="NoSpacing"/>
        <w:rPr>
          <w:lang w:val="en-GB"/>
        </w:rPr>
      </w:pPr>
      <w:r w:rsidRPr="003E3DFC">
        <w:rPr>
          <w:lang w:val="en-GB"/>
        </w:rPr>
        <w:lastRenderedPageBreak/>
        <w:t xml:space="preserve">Looking at female unemployment from an </w:t>
      </w:r>
      <w:r w:rsidR="00BF2E2B" w:rsidRPr="003E3DFC">
        <w:rPr>
          <w:lang w:val="en-GB"/>
        </w:rPr>
        <w:t>age</w:t>
      </w:r>
      <w:r w:rsidRPr="003E3DFC">
        <w:rPr>
          <w:lang w:val="en-GB"/>
        </w:rPr>
        <w:t xml:space="preserve"> </w:t>
      </w:r>
      <w:r w:rsidR="009A7E4F" w:rsidRPr="003E3DFC">
        <w:rPr>
          <w:lang w:val="en-GB"/>
        </w:rPr>
        <w:t>perspective (figure 7)</w:t>
      </w:r>
      <w:r w:rsidR="00BF2E2B" w:rsidRPr="003E3DFC">
        <w:rPr>
          <w:lang w:val="en-GB"/>
        </w:rPr>
        <w:t xml:space="preserve">, </w:t>
      </w:r>
      <w:r w:rsidR="00F05FA9" w:rsidRPr="003E3DFC">
        <w:rPr>
          <w:lang w:val="en-GB"/>
        </w:rPr>
        <w:t>data clearly suggests that f</w:t>
      </w:r>
      <w:r w:rsidR="00BF2E2B" w:rsidRPr="003E3DFC">
        <w:rPr>
          <w:lang w:val="en-GB"/>
        </w:rPr>
        <w:t xml:space="preserve">emale youth </w:t>
      </w:r>
      <w:r w:rsidR="00F05FA9" w:rsidRPr="003E3DFC">
        <w:rPr>
          <w:lang w:val="en-GB"/>
        </w:rPr>
        <w:t xml:space="preserve">are much </w:t>
      </w:r>
      <w:r w:rsidR="00BF2E2B" w:rsidRPr="003E3DFC">
        <w:rPr>
          <w:lang w:val="en-GB"/>
        </w:rPr>
        <w:t>m</w:t>
      </w:r>
      <w:r w:rsidR="00F05FA9" w:rsidRPr="003E3DFC">
        <w:rPr>
          <w:lang w:val="en-GB"/>
        </w:rPr>
        <w:t>ore vulnerable to unemployment than other age groups</w:t>
      </w:r>
      <w:r w:rsidRPr="003E3DFC">
        <w:rPr>
          <w:lang w:val="en-GB"/>
        </w:rPr>
        <w:t>. A</w:t>
      </w:r>
      <w:r w:rsidR="00F05FA9" w:rsidRPr="003E3DFC">
        <w:rPr>
          <w:lang w:val="en-GB"/>
        </w:rPr>
        <w:t xml:space="preserve">lthough female youth unemployment is showing </w:t>
      </w:r>
      <w:r w:rsidR="00A80198" w:rsidRPr="003E3DFC">
        <w:rPr>
          <w:lang w:val="en-GB"/>
        </w:rPr>
        <w:t xml:space="preserve">a </w:t>
      </w:r>
      <w:r w:rsidR="00F05FA9" w:rsidRPr="003E3DFC">
        <w:rPr>
          <w:lang w:val="en-GB"/>
        </w:rPr>
        <w:t xml:space="preserve">decreasing trend (dropped by 9.9 p.p. from 2006 to 2013), it is </w:t>
      </w:r>
      <w:r w:rsidR="00BF2E2B" w:rsidRPr="003E3DFC">
        <w:rPr>
          <w:lang w:val="en-GB"/>
        </w:rPr>
        <w:t xml:space="preserve">almost twice as high as females age 25-49 and </w:t>
      </w:r>
      <w:r w:rsidR="00F05FA9" w:rsidRPr="003E3DFC">
        <w:rPr>
          <w:lang w:val="en-GB"/>
        </w:rPr>
        <w:t>more than to time</w:t>
      </w:r>
      <w:r w:rsidR="00BF2E2B" w:rsidRPr="003E3DFC">
        <w:rPr>
          <w:lang w:val="en-GB"/>
        </w:rPr>
        <w:t xml:space="preserve"> higher than </w:t>
      </w:r>
      <w:r w:rsidR="00F05FA9" w:rsidRPr="003E3DFC">
        <w:rPr>
          <w:lang w:val="en-GB"/>
        </w:rPr>
        <w:t xml:space="preserve">females in the </w:t>
      </w:r>
      <w:r w:rsidR="00BF2E2B" w:rsidRPr="003E3DFC">
        <w:rPr>
          <w:lang w:val="en-GB"/>
        </w:rPr>
        <w:t>50-64 age group.</w:t>
      </w:r>
      <w:r w:rsidR="00F05FA9" w:rsidRPr="003E3DFC">
        <w:rPr>
          <w:lang w:val="en-GB"/>
        </w:rPr>
        <w:t xml:space="preserve"> This can partly be explained by </w:t>
      </w:r>
      <w:r w:rsidR="004D369F" w:rsidRPr="003E3DFC">
        <w:rPr>
          <w:lang w:val="en-GB"/>
        </w:rPr>
        <w:t>the fact that young people are more vulnerable to economic downturns and the first</w:t>
      </w:r>
      <w:r w:rsidR="009545D0" w:rsidRPr="003E3DFC">
        <w:rPr>
          <w:lang w:val="en-GB"/>
        </w:rPr>
        <w:t xml:space="preserve"> to be cut from employment. Young people</w:t>
      </w:r>
      <w:r w:rsidR="004D369F" w:rsidRPr="003E3DFC">
        <w:rPr>
          <w:lang w:val="en-GB"/>
        </w:rPr>
        <w:t xml:space="preserve"> tend to be ‘last in’ and ‘first o</w:t>
      </w:r>
      <w:r w:rsidR="009545D0" w:rsidRPr="003E3DFC">
        <w:rPr>
          <w:lang w:val="en-GB"/>
        </w:rPr>
        <w:t xml:space="preserve">ut’ - </w:t>
      </w:r>
      <w:r w:rsidR="004D369F" w:rsidRPr="003E3DFC">
        <w:rPr>
          <w:lang w:val="en-GB"/>
        </w:rPr>
        <w:t>last to be hired</w:t>
      </w:r>
      <w:r w:rsidR="009545D0" w:rsidRPr="003E3DFC">
        <w:rPr>
          <w:lang w:val="en-GB"/>
        </w:rPr>
        <w:t xml:space="preserve">, and the first to be dismissed. This, </w:t>
      </w:r>
      <w:r w:rsidR="004D369F" w:rsidRPr="003E3DFC">
        <w:rPr>
          <w:lang w:val="en-GB"/>
        </w:rPr>
        <w:t>together with the challenges they face in making the transition from education and training to the labour market</w:t>
      </w:r>
      <w:r w:rsidR="009545D0" w:rsidRPr="003E3DFC">
        <w:rPr>
          <w:lang w:val="en-GB"/>
        </w:rPr>
        <w:t>,</w:t>
      </w:r>
      <w:r w:rsidR="004D369F" w:rsidRPr="003E3DFC">
        <w:rPr>
          <w:lang w:val="en-GB"/>
        </w:rPr>
        <w:t xml:space="preserve"> makes </w:t>
      </w:r>
      <w:r w:rsidR="009545D0" w:rsidRPr="003E3DFC">
        <w:rPr>
          <w:lang w:val="en-GB"/>
        </w:rPr>
        <w:t>younger generations</w:t>
      </w:r>
      <w:r w:rsidR="004D369F" w:rsidRPr="003E3DFC">
        <w:rPr>
          <w:lang w:val="en-GB"/>
        </w:rPr>
        <w:t xml:space="preserve"> generally subject to higher rates of unemployment than older generations (United Nations, 2013).</w:t>
      </w:r>
    </w:p>
    <w:p w14:paraId="0A72CEEE" w14:textId="77777777" w:rsidR="007C0E8C" w:rsidRPr="003E3DFC" w:rsidRDefault="007C0E8C" w:rsidP="006303F6">
      <w:pPr>
        <w:pStyle w:val="NoSpacing"/>
        <w:rPr>
          <w:lang w:val="en-GB"/>
        </w:rPr>
      </w:pPr>
    </w:p>
    <w:p w14:paraId="71792D7D" w14:textId="45FF01EF" w:rsidR="00903FF7" w:rsidRPr="003E3DFC" w:rsidRDefault="00903FF7" w:rsidP="00903FF7">
      <w:pPr>
        <w:pStyle w:val="Caption"/>
        <w:rPr>
          <w:i w:val="0"/>
          <w:color w:val="auto"/>
          <w:sz w:val="24"/>
        </w:rPr>
      </w:pPr>
      <w:r w:rsidRPr="003E3DFC">
        <w:rPr>
          <w:i w:val="0"/>
          <w:color w:val="auto"/>
          <w:sz w:val="24"/>
        </w:rPr>
        <w:t xml:space="preserve">Figure </w:t>
      </w:r>
      <w:r w:rsidRPr="003E3DFC">
        <w:rPr>
          <w:i w:val="0"/>
          <w:color w:val="auto"/>
          <w:sz w:val="24"/>
        </w:rPr>
        <w:fldChar w:fldCharType="begin"/>
      </w:r>
      <w:r w:rsidRPr="003E3DFC">
        <w:rPr>
          <w:i w:val="0"/>
          <w:color w:val="auto"/>
          <w:sz w:val="24"/>
        </w:rPr>
        <w:instrText xml:space="preserve"> SEQ Figure \* ARABIC </w:instrText>
      </w:r>
      <w:r w:rsidRPr="003E3DFC">
        <w:rPr>
          <w:i w:val="0"/>
          <w:color w:val="auto"/>
          <w:sz w:val="24"/>
        </w:rPr>
        <w:fldChar w:fldCharType="separate"/>
      </w:r>
      <w:r w:rsidR="009A7E4F" w:rsidRPr="003E3DFC">
        <w:rPr>
          <w:i w:val="0"/>
          <w:noProof/>
          <w:color w:val="auto"/>
          <w:sz w:val="24"/>
        </w:rPr>
        <w:t>7</w:t>
      </w:r>
      <w:r w:rsidRPr="003E3DFC">
        <w:rPr>
          <w:i w:val="0"/>
          <w:color w:val="auto"/>
          <w:sz w:val="24"/>
        </w:rPr>
        <w:fldChar w:fldCharType="end"/>
      </w:r>
      <w:r w:rsidRPr="003E3DFC">
        <w:rPr>
          <w:i w:val="0"/>
          <w:color w:val="auto"/>
          <w:sz w:val="24"/>
        </w:rPr>
        <w:t xml:space="preserve">: Female </w:t>
      </w:r>
      <w:r w:rsidR="003F1A12" w:rsidRPr="003E3DFC">
        <w:rPr>
          <w:i w:val="0"/>
          <w:color w:val="auto"/>
          <w:sz w:val="24"/>
        </w:rPr>
        <w:t>unemployment rate in Macedonia by age g</w:t>
      </w:r>
      <w:r w:rsidRPr="003E3DFC">
        <w:rPr>
          <w:i w:val="0"/>
          <w:color w:val="auto"/>
          <w:sz w:val="24"/>
        </w:rPr>
        <w:t>roup (%)</w:t>
      </w:r>
    </w:p>
    <w:p w14:paraId="50D31AFB" w14:textId="2539D96D" w:rsidR="000854B4" w:rsidRPr="003E3DFC" w:rsidRDefault="006C06C9" w:rsidP="000854B4">
      <w:pPr>
        <w:pStyle w:val="NoSpacing"/>
        <w:rPr>
          <w:lang w:val="en-GB"/>
        </w:rPr>
      </w:pPr>
      <w:r w:rsidRPr="003E3DFC">
        <w:rPr>
          <w:noProof/>
          <w:lang w:val="bs-Latn-BA" w:eastAsia="bs-Latn-BA"/>
        </w:rPr>
        <w:drawing>
          <wp:inline distT="0" distB="0" distL="0" distR="0" wp14:anchorId="0AE09C6A" wp14:editId="14943E39">
            <wp:extent cx="5953125" cy="1847850"/>
            <wp:effectExtent l="0" t="0" r="0" b="0"/>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BEF1B7" w14:textId="77777777" w:rsidR="00BF2E2B" w:rsidRPr="003E3DFC" w:rsidRDefault="000854B4" w:rsidP="00BF2E2B">
      <w:pPr>
        <w:pStyle w:val="NoSpacing"/>
        <w:rPr>
          <w:lang w:val="en-GB"/>
        </w:rPr>
      </w:pPr>
      <w:r w:rsidRPr="003E3DFC">
        <w:rPr>
          <w:lang w:val="en-GB"/>
        </w:rPr>
        <w:t xml:space="preserve">Source: </w:t>
      </w:r>
      <w:r w:rsidR="00BF2E2B" w:rsidRPr="003E3DFC">
        <w:rPr>
          <w:lang w:val="en-GB"/>
        </w:rPr>
        <w:t xml:space="preserve">Author’s own work based on LFS data from the State Statistical Office of </w:t>
      </w:r>
      <w:r w:rsidR="00C30864" w:rsidRPr="003E3DFC">
        <w:rPr>
          <w:lang w:val="en-GB"/>
        </w:rPr>
        <w:t>R. of Macedonia</w:t>
      </w:r>
      <w:r w:rsidR="00BF2E2B" w:rsidRPr="003E3DFC">
        <w:rPr>
          <w:lang w:val="en-GB"/>
        </w:rPr>
        <w:t xml:space="preserve"> </w:t>
      </w:r>
    </w:p>
    <w:p w14:paraId="314BCDDA" w14:textId="77777777" w:rsidR="00903FF7" w:rsidRPr="003E3DFC" w:rsidRDefault="00903FF7" w:rsidP="006303F6">
      <w:pPr>
        <w:pStyle w:val="NoSpacing"/>
        <w:rPr>
          <w:lang w:val="en-GB"/>
        </w:rPr>
      </w:pPr>
    </w:p>
    <w:p w14:paraId="09D61894" w14:textId="345B8745" w:rsidR="00D27D05" w:rsidRPr="003E3DFC" w:rsidRDefault="00E02B09" w:rsidP="006303F6">
      <w:pPr>
        <w:pStyle w:val="NoSpacing"/>
        <w:rPr>
          <w:lang w:val="en-GB"/>
        </w:rPr>
      </w:pPr>
      <w:r w:rsidRPr="003E3DFC">
        <w:rPr>
          <w:lang w:val="en-GB"/>
        </w:rPr>
        <w:t xml:space="preserve">The vulnerability of female youth towards unemployment is according to data (table </w:t>
      </w:r>
      <w:r w:rsidR="00B80334" w:rsidRPr="003E3DFC">
        <w:rPr>
          <w:lang w:val="en-GB"/>
        </w:rPr>
        <w:t>7</w:t>
      </w:r>
      <w:r w:rsidRPr="003E3DFC">
        <w:rPr>
          <w:lang w:val="en-GB"/>
        </w:rPr>
        <w:t>) a phenomenon applicable for all benchmark countries</w:t>
      </w:r>
      <w:r w:rsidR="009545D0" w:rsidRPr="003E3DFC">
        <w:rPr>
          <w:lang w:val="en-GB"/>
        </w:rPr>
        <w:t xml:space="preserve">. Due to missing data for 2004 and 2005, the observed period has been reduced to cover </w:t>
      </w:r>
      <w:r w:rsidR="00D27D05" w:rsidRPr="003E3DFC">
        <w:rPr>
          <w:lang w:val="en-GB"/>
        </w:rPr>
        <w:t>only the period 2006-20</w:t>
      </w:r>
      <w:r w:rsidR="009545D0" w:rsidRPr="003E3DFC">
        <w:rPr>
          <w:lang w:val="en-GB"/>
        </w:rPr>
        <w:t xml:space="preserve">13. </w:t>
      </w:r>
    </w:p>
    <w:p w14:paraId="55B94888" w14:textId="77777777" w:rsidR="00D27D05" w:rsidRPr="003E3DFC" w:rsidRDefault="00D27D05" w:rsidP="006303F6">
      <w:pPr>
        <w:pStyle w:val="NoSpacing"/>
        <w:rPr>
          <w:lang w:val="en-GB"/>
        </w:rPr>
      </w:pPr>
    </w:p>
    <w:p w14:paraId="4424EBE7" w14:textId="107E18B3" w:rsidR="00903FF7" w:rsidRPr="003E3DFC" w:rsidRDefault="009545D0" w:rsidP="006303F6">
      <w:pPr>
        <w:pStyle w:val="NoSpacing"/>
        <w:rPr>
          <w:lang w:val="en-GB"/>
        </w:rPr>
      </w:pPr>
      <w:r w:rsidRPr="003E3DFC">
        <w:rPr>
          <w:lang w:val="en-GB"/>
        </w:rPr>
        <w:t>S</w:t>
      </w:r>
      <w:r w:rsidR="00E02B09" w:rsidRPr="003E3DFC">
        <w:rPr>
          <w:lang w:val="en-GB"/>
        </w:rPr>
        <w:t xml:space="preserve">imilar patterns </w:t>
      </w:r>
      <w:r w:rsidRPr="003E3DFC">
        <w:rPr>
          <w:lang w:val="en-GB"/>
        </w:rPr>
        <w:t>to the</w:t>
      </w:r>
      <w:r w:rsidR="00E02B09" w:rsidRPr="003E3DFC">
        <w:rPr>
          <w:lang w:val="en-GB"/>
        </w:rPr>
        <w:t xml:space="preserve"> </w:t>
      </w:r>
      <w:r w:rsidR="00C30864" w:rsidRPr="003E3DFC">
        <w:rPr>
          <w:lang w:val="en-GB"/>
        </w:rPr>
        <w:t>R. of Macedonia</w:t>
      </w:r>
      <w:r w:rsidR="00E02B09" w:rsidRPr="003E3DFC">
        <w:rPr>
          <w:lang w:val="en-GB"/>
        </w:rPr>
        <w:t xml:space="preserve"> </w:t>
      </w:r>
      <w:r w:rsidRPr="003E3DFC">
        <w:rPr>
          <w:lang w:val="en-GB"/>
        </w:rPr>
        <w:t>are observed also in the case of</w:t>
      </w:r>
      <w:r w:rsidR="00470E17" w:rsidRPr="003E3DFC">
        <w:rPr>
          <w:lang w:val="en-GB"/>
        </w:rPr>
        <w:t xml:space="preserve"> Bulgaria, </w:t>
      </w:r>
      <w:r w:rsidR="00E02B09" w:rsidRPr="003E3DFC">
        <w:rPr>
          <w:lang w:val="en-GB"/>
        </w:rPr>
        <w:t>Greece,</w:t>
      </w:r>
      <w:r w:rsidR="00470E17" w:rsidRPr="003E3DFC">
        <w:rPr>
          <w:lang w:val="en-GB"/>
        </w:rPr>
        <w:t xml:space="preserve"> </w:t>
      </w:r>
      <w:r w:rsidR="00E02B09" w:rsidRPr="003E3DFC">
        <w:rPr>
          <w:lang w:val="en-GB"/>
        </w:rPr>
        <w:t xml:space="preserve">Croatia and Slovenia when </w:t>
      </w:r>
      <w:r w:rsidRPr="003E3DFC">
        <w:rPr>
          <w:lang w:val="en-GB"/>
        </w:rPr>
        <w:t>observing</w:t>
      </w:r>
      <w:r w:rsidR="00E02B09" w:rsidRPr="003E3DFC">
        <w:rPr>
          <w:lang w:val="en-GB"/>
        </w:rPr>
        <w:t xml:space="preserve"> female unemployment rates </w:t>
      </w:r>
      <w:r w:rsidRPr="003E3DFC">
        <w:rPr>
          <w:lang w:val="en-GB"/>
        </w:rPr>
        <w:t>by</w:t>
      </w:r>
      <w:r w:rsidR="00E02B09" w:rsidRPr="003E3DFC">
        <w:rPr>
          <w:lang w:val="en-GB"/>
        </w:rPr>
        <w:t xml:space="preserve"> age group. The highest female youth unemployment rate in 2006 was </w:t>
      </w:r>
      <w:r w:rsidRPr="003E3DFC">
        <w:rPr>
          <w:lang w:val="en-GB"/>
        </w:rPr>
        <w:t>observed</w:t>
      </w:r>
      <w:r w:rsidR="00E02B09" w:rsidRPr="003E3DFC">
        <w:rPr>
          <w:lang w:val="en-GB"/>
        </w:rPr>
        <w:t xml:space="preserve"> in </w:t>
      </w:r>
      <w:r w:rsidR="00C30864" w:rsidRPr="003E3DFC">
        <w:rPr>
          <w:lang w:val="en-GB"/>
        </w:rPr>
        <w:t>R. of Macedonia</w:t>
      </w:r>
      <w:r w:rsidR="00E02B09" w:rsidRPr="003E3DFC">
        <w:rPr>
          <w:lang w:val="en-GB"/>
        </w:rPr>
        <w:t xml:space="preserve"> (60.9%) followed by Greece (34.2</w:t>
      </w:r>
      <w:r w:rsidRPr="003E3DFC">
        <w:rPr>
          <w:lang w:val="en-GB"/>
        </w:rPr>
        <w:t>%</w:t>
      </w:r>
      <w:r w:rsidR="00E02B09" w:rsidRPr="003E3DFC">
        <w:rPr>
          <w:lang w:val="en-GB"/>
        </w:rPr>
        <w:t>)</w:t>
      </w:r>
      <w:r w:rsidR="00BD64F3" w:rsidRPr="003E3DFC">
        <w:rPr>
          <w:lang w:val="en-GB"/>
        </w:rPr>
        <w:t>. A</w:t>
      </w:r>
      <w:r w:rsidR="00363955" w:rsidRPr="003E3DFC">
        <w:rPr>
          <w:lang w:val="en-GB"/>
        </w:rPr>
        <w:t xml:space="preserve">lthough the </w:t>
      </w:r>
      <w:r w:rsidR="00C30864" w:rsidRPr="003E3DFC">
        <w:rPr>
          <w:lang w:val="en-GB"/>
        </w:rPr>
        <w:t>R. of Macedonia</w:t>
      </w:r>
      <w:r w:rsidR="00363955" w:rsidRPr="003E3DFC">
        <w:rPr>
          <w:lang w:val="en-GB"/>
        </w:rPr>
        <w:t xml:space="preserve"> </w:t>
      </w:r>
      <w:r w:rsidRPr="003E3DFC">
        <w:rPr>
          <w:lang w:val="en-GB"/>
        </w:rPr>
        <w:t>registered</w:t>
      </w:r>
      <w:r w:rsidR="00363955" w:rsidRPr="003E3DFC">
        <w:rPr>
          <w:lang w:val="en-GB"/>
        </w:rPr>
        <w:t xml:space="preserve"> a decrease in female youth unemployment in the following years (app.</w:t>
      </w:r>
      <w:r w:rsidR="00470E17" w:rsidRPr="003E3DFC">
        <w:rPr>
          <w:lang w:val="en-GB"/>
        </w:rPr>
        <w:t xml:space="preserve"> </w:t>
      </w:r>
      <w:r w:rsidR="00BD64F3" w:rsidRPr="003E3DFC">
        <w:rPr>
          <w:lang w:val="en-GB"/>
        </w:rPr>
        <w:t xml:space="preserve">9.9 p.p.), </w:t>
      </w:r>
      <w:r w:rsidR="00363955" w:rsidRPr="003E3DFC">
        <w:rPr>
          <w:lang w:val="en-GB"/>
        </w:rPr>
        <w:t>it still remain</w:t>
      </w:r>
      <w:r w:rsidRPr="003E3DFC">
        <w:rPr>
          <w:lang w:val="en-GB"/>
        </w:rPr>
        <w:t xml:space="preserve">s among the countries </w:t>
      </w:r>
      <w:r w:rsidR="00363955" w:rsidRPr="003E3DFC">
        <w:rPr>
          <w:lang w:val="en-GB"/>
        </w:rPr>
        <w:t>with the highest female youth unemployment rate (5</w:t>
      </w:r>
      <w:r w:rsidR="00470E17" w:rsidRPr="003E3DFC">
        <w:rPr>
          <w:lang w:val="en-GB"/>
        </w:rPr>
        <w:t>1%)</w:t>
      </w:r>
      <w:r w:rsidRPr="003E3DFC">
        <w:rPr>
          <w:lang w:val="en-GB"/>
        </w:rPr>
        <w:t xml:space="preserve"> compared to the benchmark</w:t>
      </w:r>
      <w:r w:rsidR="00470E17" w:rsidRPr="003E3DFC">
        <w:rPr>
          <w:lang w:val="en-GB"/>
        </w:rPr>
        <w:t xml:space="preserve">. Greece </w:t>
      </w:r>
      <w:r w:rsidR="00BD64F3" w:rsidRPr="003E3DFC">
        <w:rPr>
          <w:lang w:val="en-GB"/>
        </w:rPr>
        <w:t>observed a great</w:t>
      </w:r>
      <w:r w:rsidR="00363955" w:rsidRPr="003E3DFC">
        <w:rPr>
          <w:lang w:val="en-GB"/>
        </w:rPr>
        <w:t xml:space="preserve"> increase in the female youth unemployment rate (app. 30 p.p.) reaching 63.8%</w:t>
      </w:r>
      <w:r w:rsidR="0014458A" w:rsidRPr="003E3DFC">
        <w:rPr>
          <w:lang w:val="en-GB"/>
        </w:rPr>
        <w:t xml:space="preserve"> in 2013, </w:t>
      </w:r>
      <w:r w:rsidRPr="003E3DFC">
        <w:rPr>
          <w:lang w:val="en-GB"/>
        </w:rPr>
        <w:t xml:space="preserve">surpassing thus the R. of Macedonia and registering the </w:t>
      </w:r>
      <w:r w:rsidR="0014458A" w:rsidRPr="003E3DFC">
        <w:rPr>
          <w:lang w:val="en-GB"/>
        </w:rPr>
        <w:t>highest female youth unemployment am</w:t>
      </w:r>
      <w:r w:rsidR="006303F6" w:rsidRPr="003E3DFC">
        <w:rPr>
          <w:lang w:val="en-GB"/>
        </w:rPr>
        <w:t>ong Balkan countries in the EU.</w:t>
      </w:r>
    </w:p>
    <w:p w14:paraId="577AD03D" w14:textId="77777777" w:rsidR="00903FF7" w:rsidRPr="003E3DFC" w:rsidRDefault="00903FF7" w:rsidP="006303F6">
      <w:pPr>
        <w:pStyle w:val="NoSpacing"/>
        <w:rPr>
          <w:lang w:val="en-GB"/>
        </w:rPr>
      </w:pPr>
    </w:p>
    <w:p w14:paraId="1D938D67" w14:textId="7DF905ED" w:rsidR="00903FF7" w:rsidRPr="003E3DFC" w:rsidRDefault="00903FF7" w:rsidP="00903FF7">
      <w:pPr>
        <w:pStyle w:val="Caption"/>
        <w:rPr>
          <w:i w:val="0"/>
          <w:color w:val="auto"/>
          <w:sz w:val="24"/>
        </w:rPr>
      </w:pPr>
      <w:r w:rsidRPr="003E3DFC">
        <w:rPr>
          <w:i w:val="0"/>
          <w:color w:val="auto"/>
          <w:sz w:val="24"/>
        </w:rPr>
        <w:t xml:space="preserve">Table </w:t>
      </w:r>
      <w:r w:rsidRPr="003E3DFC">
        <w:rPr>
          <w:i w:val="0"/>
          <w:color w:val="auto"/>
          <w:sz w:val="24"/>
        </w:rPr>
        <w:fldChar w:fldCharType="begin"/>
      </w:r>
      <w:r w:rsidRPr="003E3DFC">
        <w:rPr>
          <w:i w:val="0"/>
          <w:color w:val="auto"/>
          <w:sz w:val="24"/>
        </w:rPr>
        <w:instrText xml:space="preserve"> SEQ Table \* ARABIC </w:instrText>
      </w:r>
      <w:r w:rsidRPr="003E3DFC">
        <w:rPr>
          <w:i w:val="0"/>
          <w:color w:val="auto"/>
          <w:sz w:val="24"/>
        </w:rPr>
        <w:fldChar w:fldCharType="separate"/>
      </w:r>
      <w:r w:rsidR="00F625BB" w:rsidRPr="003E3DFC">
        <w:rPr>
          <w:i w:val="0"/>
          <w:noProof/>
          <w:color w:val="auto"/>
          <w:sz w:val="24"/>
        </w:rPr>
        <w:t>7</w:t>
      </w:r>
      <w:r w:rsidRPr="003E3DFC">
        <w:rPr>
          <w:i w:val="0"/>
          <w:color w:val="auto"/>
          <w:sz w:val="24"/>
        </w:rPr>
        <w:fldChar w:fldCharType="end"/>
      </w:r>
      <w:r w:rsidR="003F1A12" w:rsidRPr="003E3DFC">
        <w:rPr>
          <w:i w:val="0"/>
          <w:color w:val="auto"/>
          <w:sz w:val="24"/>
        </w:rPr>
        <w:t>: Female unemployment rate by a</w:t>
      </w:r>
      <w:r w:rsidRPr="003E3DFC">
        <w:rPr>
          <w:i w:val="0"/>
          <w:color w:val="auto"/>
          <w:sz w:val="24"/>
        </w:rPr>
        <w:t xml:space="preserve">ge in </w:t>
      </w:r>
      <w:r w:rsidR="003F1A12" w:rsidRPr="003E3DFC">
        <w:rPr>
          <w:i w:val="0"/>
          <w:color w:val="auto"/>
          <w:sz w:val="24"/>
        </w:rPr>
        <w:t>s</w:t>
      </w:r>
      <w:r w:rsidRPr="003E3DFC">
        <w:rPr>
          <w:i w:val="0"/>
          <w:color w:val="auto"/>
          <w:sz w:val="24"/>
        </w:rPr>
        <w:t xml:space="preserve">elect Balkan </w:t>
      </w:r>
      <w:r w:rsidR="003F1A12" w:rsidRPr="003E3DFC">
        <w:rPr>
          <w:i w:val="0"/>
          <w:color w:val="auto"/>
          <w:sz w:val="24"/>
        </w:rPr>
        <w:t>c</w:t>
      </w:r>
      <w:r w:rsidRPr="003E3DFC">
        <w:rPr>
          <w:i w:val="0"/>
          <w:color w:val="auto"/>
          <w:sz w:val="24"/>
        </w:rPr>
        <w:t>ountries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20"/>
        <w:gridCol w:w="868"/>
        <w:gridCol w:w="868"/>
        <w:gridCol w:w="869"/>
        <w:gridCol w:w="869"/>
        <w:gridCol w:w="869"/>
        <w:gridCol w:w="870"/>
        <w:gridCol w:w="869"/>
        <w:gridCol w:w="869"/>
        <w:gridCol w:w="869"/>
      </w:tblGrid>
      <w:tr w:rsidR="00903FF7" w:rsidRPr="003E3DFC" w14:paraId="5FF5E502" w14:textId="77777777" w:rsidTr="00903FF7">
        <w:trPr>
          <w:trHeight w:val="298"/>
        </w:trPr>
        <w:tc>
          <w:tcPr>
            <w:tcW w:w="814" w:type="pct"/>
            <w:vMerge w:val="restart"/>
            <w:shd w:val="clear" w:color="auto" w:fill="auto"/>
            <w:tcMar>
              <w:top w:w="15" w:type="dxa"/>
              <w:left w:w="24" w:type="dxa"/>
              <w:bottom w:w="0" w:type="dxa"/>
              <w:right w:w="24" w:type="dxa"/>
            </w:tcMar>
            <w:vAlign w:val="center"/>
            <w:hideMark/>
          </w:tcPr>
          <w:p w14:paraId="40A468B5" w14:textId="77777777" w:rsidR="00903FF7" w:rsidRPr="003E3DFC" w:rsidRDefault="00903FF7" w:rsidP="00903FF7">
            <w:pPr>
              <w:pStyle w:val="NoSpacing"/>
              <w:jc w:val="left"/>
              <w:rPr>
                <w:b/>
                <w:sz w:val="22"/>
                <w:lang w:val="en-GB"/>
              </w:rPr>
            </w:pPr>
          </w:p>
        </w:tc>
        <w:tc>
          <w:tcPr>
            <w:tcW w:w="1395" w:type="pct"/>
            <w:gridSpan w:val="3"/>
            <w:shd w:val="clear" w:color="auto" w:fill="auto"/>
            <w:tcMar>
              <w:top w:w="15" w:type="dxa"/>
              <w:left w:w="24" w:type="dxa"/>
              <w:bottom w:w="0" w:type="dxa"/>
              <w:right w:w="24" w:type="dxa"/>
            </w:tcMar>
            <w:vAlign w:val="center"/>
            <w:hideMark/>
          </w:tcPr>
          <w:p w14:paraId="7E51BBBF" w14:textId="77777777" w:rsidR="00903FF7" w:rsidRPr="003E3DFC" w:rsidRDefault="00903FF7" w:rsidP="00903FF7">
            <w:pPr>
              <w:pStyle w:val="NoSpacing"/>
              <w:jc w:val="center"/>
              <w:rPr>
                <w:b/>
                <w:sz w:val="22"/>
                <w:lang w:val="en-GB"/>
              </w:rPr>
            </w:pPr>
            <w:r w:rsidRPr="003E3DFC">
              <w:rPr>
                <w:b/>
                <w:sz w:val="22"/>
                <w:lang w:val="en-GB"/>
              </w:rPr>
              <w:t>2006</w:t>
            </w:r>
          </w:p>
        </w:tc>
        <w:tc>
          <w:tcPr>
            <w:tcW w:w="1396" w:type="pct"/>
            <w:gridSpan w:val="3"/>
            <w:shd w:val="clear" w:color="auto" w:fill="auto"/>
            <w:tcMar>
              <w:top w:w="15" w:type="dxa"/>
              <w:left w:w="24" w:type="dxa"/>
              <w:bottom w:w="0" w:type="dxa"/>
              <w:right w:w="24" w:type="dxa"/>
            </w:tcMar>
            <w:vAlign w:val="center"/>
            <w:hideMark/>
          </w:tcPr>
          <w:p w14:paraId="209C7FFB" w14:textId="77777777" w:rsidR="00903FF7" w:rsidRPr="003E3DFC" w:rsidRDefault="00903FF7" w:rsidP="00903FF7">
            <w:pPr>
              <w:pStyle w:val="NoSpacing"/>
              <w:jc w:val="center"/>
              <w:rPr>
                <w:b/>
                <w:sz w:val="22"/>
                <w:lang w:val="en-GB"/>
              </w:rPr>
            </w:pPr>
            <w:r w:rsidRPr="003E3DFC">
              <w:rPr>
                <w:b/>
                <w:sz w:val="22"/>
                <w:lang w:val="en-GB"/>
              </w:rPr>
              <w:t>2013</w:t>
            </w:r>
          </w:p>
        </w:tc>
        <w:tc>
          <w:tcPr>
            <w:tcW w:w="1396" w:type="pct"/>
            <w:gridSpan w:val="3"/>
            <w:shd w:val="clear" w:color="auto" w:fill="auto"/>
            <w:tcMar>
              <w:top w:w="15" w:type="dxa"/>
              <w:left w:w="24" w:type="dxa"/>
              <w:bottom w:w="0" w:type="dxa"/>
              <w:right w:w="24" w:type="dxa"/>
            </w:tcMar>
            <w:vAlign w:val="center"/>
            <w:hideMark/>
          </w:tcPr>
          <w:p w14:paraId="2EE681BF" w14:textId="77777777" w:rsidR="00903FF7" w:rsidRPr="003E3DFC" w:rsidRDefault="00903FF7" w:rsidP="00903FF7">
            <w:pPr>
              <w:pStyle w:val="NoSpacing"/>
              <w:jc w:val="center"/>
              <w:rPr>
                <w:b/>
                <w:sz w:val="22"/>
                <w:lang w:val="en-GB"/>
              </w:rPr>
            </w:pPr>
            <w:r w:rsidRPr="003E3DFC">
              <w:rPr>
                <w:b/>
                <w:sz w:val="22"/>
                <w:lang w:val="en-GB"/>
              </w:rPr>
              <w:t xml:space="preserve">Change from 2006 in </w:t>
            </w:r>
          </w:p>
          <w:p w14:paraId="5C0C53C0" w14:textId="77777777" w:rsidR="00903FF7" w:rsidRPr="003E3DFC" w:rsidRDefault="00903FF7" w:rsidP="00903FF7">
            <w:pPr>
              <w:pStyle w:val="NoSpacing"/>
              <w:jc w:val="center"/>
              <w:rPr>
                <w:b/>
                <w:sz w:val="22"/>
                <w:lang w:val="en-GB"/>
              </w:rPr>
            </w:pPr>
            <w:r w:rsidRPr="003E3DFC">
              <w:rPr>
                <w:b/>
                <w:sz w:val="22"/>
                <w:lang w:val="en-GB"/>
              </w:rPr>
              <w:t>Percent Point</w:t>
            </w:r>
          </w:p>
        </w:tc>
      </w:tr>
      <w:tr w:rsidR="00903FF7" w:rsidRPr="003E3DFC" w14:paraId="615FF8FC" w14:textId="77777777" w:rsidTr="00903FF7">
        <w:trPr>
          <w:trHeight w:val="706"/>
        </w:trPr>
        <w:tc>
          <w:tcPr>
            <w:tcW w:w="814" w:type="pct"/>
            <w:vMerge/>
            <w:shd w:val="clear" w:color="auto" w:fill="auto"/>
            <w:vAlign w:val="center"/>
            <w:hideMark/>
          </w:tcPr>
          <w:p w14:paraId="775F6C05" w14:textId="77777777" w:rsidR="00903FF7" w:rsidRPr="003E3DFC" w:rsidRDefault="00903FF7" w:rsidP="00903FF7">
            <w:pPr>
              <w:pStyle w:val="NoSpacing"/>
              <w:jc w:val="left"/>
              <w:rPr>
                <w:b/>
                <w:sz w:val="22"/>
                <w:lang w:val="en-GB"/>
              </w:rPr>
            </w:pPr>
          </w:p>
        </w:tc>
        <w:tc>
          <w:tcPr>
            <w:tcW w:w="465" w:type="pct"/>
            <w:shd w:val="clear" w:color="auto" w:fill="auto"/>
            <w:tcMar>
              <w:top w:w="15" w:type="dxa"/>
              <w:left w:w="24" w:type="dxa"/>
              <w:bottom w:w="0" w:type="dxa"/>
              <w:right w:w="24" w:type="dxa"/>
            </w:tcMar>
            <w:vAlign w:val="center"/>
            <w:hideMark/>
          </w:tcPr>
          <w:p w14:paraId="22BFE40B" w14:textId="77777777" w:rsidR="00903FF7" w:rsidRPr="003E3DFC" w:rsidRDefault="00903FF7" w:rsidP="00903FF7">
            <w:pPr>
              <w:pStyle w:val="NoSpacing"/>
              <w:jc w:val="center"/>
              <w:rPr>
                <w:sz w:val="22"/>
                <w:lang w:val="en-GB"/>
              </w:rPr>
            </w:pPr>
            <w:r w:rsidRPr="003E3DFC">
              <w:rPr>
                <w:sz w:val="22"/>
                <w:lang w:val="en-GB"/>
              </w:rPr>
              <w:t>15-24 Yrs.</w:t>
            </w:r>
          </w:p>
        </w:tc>
        <w:tc>
          <w:tcPr>
            <w:tcW w:w="465" w:type="pct"/>
            <w:shd w:val="clear" w:color="auto" w:fill="auto"/>
            <w:tcMar>
              <w:top w:w="15" w:type="dxa"/>
              <w:left w:w="24" w:type="dxa"/>
              <w:bottom w:w="0" w:type="dxa"/>
              <w:right w:w="24" w:type="dxa"/>
            </w:tcMar>
            <w:vAlign w:val="center"/>
            <w:hideMark/>
          </w:tcPr>
          <w:p w14:paraId="369C46F3" w14:textId="77777777" w:rsidR="00903FF7" w:rsidRPr="003E3DFC" w:rsidRDefault="00903FF7" w:rsidP="00903FF7">
            <w:pPr>
              <w:pStyle w:val="NoSpacing"/>
              <w:jc w:val="center"/>
              <w:rPr>
                <w:sz w:val="22"/>
                <w:lang w:val="en-GB"/>
              </w:rPr>
            </w:pPr>
            <w:r w:rsidRPr="003E3DFC">
              <w:rPr>
                <w:sz w:val="22"/>
                <w:lang w:val="en-GB"/>
              </w:rPr>
              <w:t>25-49 Yrs.</w:t>
            </w:r>
          </w:p>
        </w:tc>
        <w:tc>
          <w:tcPr>
            <w:tcW w:w="465" w:type="pct"/>
            <w:shd w:val="clear" w:color="auto" w:fill="auto"/>
            <w:tcMar>
              <w:top w:w="15" w:type="dxa"/>
              <w:left w:w="24" w:type="dxa"/>
              <w:bottom w:w="0" w:type="dxa"/>
              <w:right w:w="24" w:type="dxa"/>
            </w:tcMar>
            <w:vAlign w:val="center"/>
            <w:hideMark/>
          </w:tcPr>
          <w:p w14:paraId="245AA0A9" w14:textId="77777777" w:rsidR="00903FF7" w:rsidRPr="003E3DFC" w:rsidRDefault="00903FF7" w:rsidP="00903FF7">
            <w:pPr>
              <w:pStyle w:val="NoSpacing"/>
              <w:jc w:val="center"/>
              <w:rPr>
                <w:sz w:val="22"/>
                <w:lang w:val="en-GB"/>
              </w:rPr>
            </w:pPr>
            <w:r w:rsidRPr="003E3DFC">
              <w:rPr>
                <w:sz w:val="22"/>
                <w:lang w:val="en-GB"/>
              </w:rPr>
              <w:t>50 - 64 Yrs.</w:t>
            </w:r>
          </w:p>
        </w:tc>
        <w:tc>
          <w:tcPr>
            <w:tcW w:w="465" w:type="pct"/>
            <w:shd w:val="clear" w:color="auto" w:fill="auto"/>
            <w:tcMar>
              <w:top w:w="15" w:type="dxa"/>
              <w:left w:w="24" w:type="dxa"/>
              <w:bottom w:w="0" w:type="dxa"/>
              <w:right w:w="24" w:type="dxa"/>
            </w:tcMar>
            <w:vAlign w:val="center"/>
            <w:hideMark/>
          </w:tcPr>
          <w:p w14:paraId="43D238B4" w14:textId="77777777" w:rsidR="00903FF7" w:rsidRPr="003E3DFC" w:rsidRDefault="00903FF7" w:rsidP="00903FF7">
            <w:pPr>
              <w:pStyle w:val="NoSpacing"/>
              <w:jc w:val="center"/>
              <w:rPr>
                <w:sz w:val="22"/>
                <w:lang w:val="en-GB"/>
              </w:rPr>
            </w:pPr>
            <w:r w:rsidRPr="003E3DFC">
              <w:rPr>
                <w:sz w:val="22"/>
                <w:lang w:val="en-GB"/>
              </w:rPr>
              <w:t>15-24 Yrs.</w:t>
            </w:r>
          </w:p>
        </w:tc>
        <w:tc>
          <w:tcPr>
            <w:tcW w:w="465" w:type="pct"/>
            <w:shd w:val="clear" w:color="auto" w:fill="auto"/>
            <w:tcMar>
              <w:top w:w="15" w:type="dxa"/>
              <w:left w:w="24" w:type="dxa"/>
              <w:bottom w:w="0" w:type="dxa"/>
              <w:right w:w="24" w:type="dxa"/>
            </w:tcMar>
            <w:vAlign w:val="center"/>
            <w:hideMark/>
          </w:tcPr>
          <w:p w14:paraId="72D62BE7" w14:textId="77777777" w:rsidR="00903FF7" w:rsidRPr="003E3DFC" w:rsidRDefault="00903FF7" w:rsidP="00903FF7">
            <w:pPr>
              <w:pStyle w:val="NoSpacing"/>
              <w:jc w:val="center"/>
              <w:rPr>
                <w:sz w:val="22"/>
                <w:lang w:val="en-GB"/>
              </w:rPr>
            </w:pPr>
            <w:r w:rsidRPr="003E3DFC">
              <w:rPr>
                <w:sz w:val="22"/>
                <w:lang w:val="en-GB"/>
              </w:rPr>
              <w:t>25-49 Yrs.</w:t>
            </w:r>
          </w:p>
        </w:tc>
        <w:tc>
          <w:tcPr>
            <w:tcW w:w="466" w:type="pct"/>
            <w:shd w:val="clear" w:color="auto" w:fill="auto"/>
            <w:tcMar>
              <w:top w:w="15" w:type="dxa"/>
              <w:left w:w="24" w:type="dxa"/>
              <w:bottom w:w="0" w:type="dxa"/>
              <w:right w:w="24" w:type="dxa"/>
            </w:tcMar>
            <w:vAlign w:val="center"/>
            <w:hideMark/>
          </w:tcPr>
          <w:p w14:paraId="1D5F26F2" w14:textId="77777777" w:rsidR="00903FF7" w:rsidRPr="003E3DFC" w:rsidRDefault="00903FF7" w:rsidP="00903FF7">
            <w:pPr>
              <w:pStyle w:val="NoSpacing"/>
              <w:jc w:val="center"/>
              <w:rPr>
                <w:sz w:val="22"/>
                <w:lang w:val="en-GB"/>
              </w:rPr>
            </w:pPr>
            <w:r w:rsidRPr="003E3DFC">
              <w:rPr>
                <w:sz w:val="22"/>
                <w:lang w:val="en-GB"/>
              </w:rPr>
              <w:t>50 - 64 Yrs.</w:t>
            </w:r>
          </w:p>
        </w:tc>
        <w:tc>
          <w:tcPr>
            <w:tcW w:w="465" w:type="pct"/>
            <w:shd w:val="clear" w:color="auto" w:fill="auto"/>
            <w:tcMar>
              <w:top w:w="15" w:type="dxa"/>
              <w:left w:w="24" w:type="dxa"/>
              <w:bottom w:w="0" w:type="dxa"/>
              <w:right w:w="24" w:type="dxa"/>
            </w:tcMar>
            <w:vAlign w:val="center"/>
            <w:hideMark/>
          </w:tcPr>
          <w:p w14:paraId="6665C649" w14:textId="77777777" w:rsidR="00903FF7" w:rsidRPr="003E3DFC" w:rsidRDefault="00903FF7" w:rsidP="00903FF7">
            <w:pPr>
              <w:pStyle w:val="NoSpacing"/>
              <w:jc w:val="center"/>
              <w:rPr>
                <w:sz w:val="22"/>
                <w:lang w:val="en-GB"/>
              </w:rPr>
            </w:pPr>
            <w:r w:rsidRPr="003E3DFC">
              <w:rPr>
                <w:sz w:val="22"/>
                <w:lang w:val="en-GB"/>
              </w:rPr>
              <w:t>15-24 Yrs.</w:t>
            </w:r>
          </w:p>
        </w:tc>
        <w:tc>
          <w:tcPr>
            <w:tcW w:w="465" w:type="pct"/>
            <w:shd w:val="clear" w:color="auto" w:fill="auto"/>
            <w:tcMar>
              <w:top w:w="15" w:type="dxa"/>
              <w:left w:w="24" w:type="dxa"/>
              <w:bottom w:w="0" w:type="dxa"/>
              <w:right w:w="24" w:type="dxa"/>
            </w:tcMar>
            <w:vAlign w:val="center"/>
            <w:hideMark/>
          </w:tcPr>
          <w:p w14:paraId="6974DD72" w14:textId="77777777" w:rsidR="00903FF7" w:rsidRPr="003E3DFC" w:rsidRDefault="00903FF7" w:rsidP="00903FF7">
            <w:pPr>
              <w:pStyle w:val="NoSpacing"/>
              <w:jc w:val="center"/>
              <w:rPr>
                <w:sz w:val="22"/>
                <w:lang w:val="en-GB"/>
              </w:rPr>
            </w:pPr>
            <w:r w:rsidRPr="003E3DFC">
              <w:rPr>
                <w:sz w:val="22"/>
                <w:lang w:val="en-GB"/>
              </w:rPr>
              <w:t>25-49 Yrs.</w:t>
            </w:r>
          </w:p>
        </w:tc>
        <w:tc>
          <w:tcPr>
            <w:tcW w:w="465" w:type="pct"/>
            <w:shd w:val="clear" w:color="auto" w:fill="auto"/>
            <w:tcMar>
              <w:top w:w="15" w:type="dxa"/>
              <w:left w:w="24" w:type="dxa"/>
              <w:bottom w:w="0" w:type="dxa"/>
              <w:right w:w="24" w:type="dxa"/>
            </w:tcMar>
            <w:vAlign w:val="center"/>
            <w:hideMark/>
          </w:tcPr>
          <w:p w14:paraId="43605314" w14:textId="77777777" w:rsidR="00903FF7" w:rsidRPr="003E3DFC" w:rsidRDefault="00903FF7" w:rsidP="00903FF7">
            <w:pPr>
              <w:pStyle w:val="NoSpacing"/>
              <w:jc w:val="center"/>
              <w:rPr>
                <w:sz w:val="22"/>
                <w:lang w:val="en-GB"/>
              </w:rPr>
            </w:pPr>
            <w:r w:rsidRPr="003E3DFC">
              <w:rPr>
                <w:sz w:val="22"/>
                <w:lang w:val="en-GB"/>
              </w:rPr>
              <w:t>50 - 64 Yrs.</w:t>
            </w:r>
          </w:p>
        </w:tc>
      </w:tr>
      <w:tr w:rsidR="00903FF7" w:rsidRPr="003E3DFC" w14:paraId="10EB1AFD" w14:textId="77777777" w:rsidTr="00903FF7">
        <w:trPr>
          <w:trHeight w:val="405"/>
        </w:trPr>
        <w:tc>
          <w:tcPr>
            <w:tcW w:w="814" w:type="pct"/>
            <w:shd w:val="clear" w:color="auto" w:fill="auto"/>
            <w:tcMar>
              <w:top w:w="15" w:type="dxa"/>
              <w:left w:w="24" w:type="dxa"/>
              <w:bottom w:w="0" w:type="dxa"/>
              <w:right w:w="24" w:type="dxa"/>
            </w:tcMar>
            <w:vAlign w:val="center"/>
            <w:hideMark/>
          </w:tcPr>
          <w:p w14:paraId="39DFC9C4" w14:textId="77777777" w:rsidR="00903FF7" w:rsidRPr="003E3DFC" w:rsidRDefault="00903FF7" w:rsidP="00903FF7">
            <w:pPr>
              <w:pStyle w:val="NoSpacing"/>
              <w:jc w:val="left"/>
              <w:rPr>
                <w:b/>
                <w:sz w:val="22"/>
                <w:lang w:val="en-GB"/>
              </w:rPr>
            </w:pPr>
            <w:r w:rsidRPr="003E3DFC">
              <w:rPr>
                <w:b/>
                <w:sz w:val="22"/>
                <w:lang w:val="en-GB"/>
              </w:rPr>
              <w:lastRenderedPageBreak/>
              <w:t>Bulgaria</w:t>
            </w:r>
          </w:p>
        </w:tc>
        <w:tc>
          <w:tcPr>
            <w:tcW w:w="465" w:type="pct"/>
            <w:shd w:val="clear" w:color="auto" w:fill="auto"/>
            <w:tcMar>
              <w:top w:w="15" w:type="dxa"/>
              <w:left w:w="24" w:type="dxa"/>
              <w:bottom w:w="0" w:type="dxa"/>
              <w:right w:w="24" w:type="dxa"/>
            </w:tcMar>
            <w:vAlign w:val="center"/>
            <w:hideMark/>
          </w:tcPr>
          <w:p w14:paraId="594C4575" w14:textId="77777777" w:rsidR="00903FF7" w:rsidRPr="003E3DFC" w:rsidRDefault="00903FF7" w:rsidP="00903FF7">
            <w:pPr>
              <w:pStyle w:val="NoSpacing"/>
              <w:jc w:val="center"/>
              <w:rPr>
                <w:sz w:val="22"/>
                <w:lang w:val="en-GB"/>
              </w:rPr>
            </w:pPr>
            <w:r w:rsidRPr="003E3DFC">
              <w:rPr>
                <w:sz w:val="22"/>
                <w:lang w:val="en-GB"/>
              </w:rPr>
              <w:t>20.3</w:t>
            </w:r>
          </w:p>
        </w:tc>
        <w:tc>
          <w:tcPr>
            <w:tcW w:w="465" w:type="pct"/>
            <w:shd w:val="clear" w:color="auto" w:fill="auto"/>
            <w:tcMar>
              <w:top w:w="15" w:type="dxa"/>
              <w:left w:w="24" w:type="dxa"/>
              <w:bottom w:w="0" w:type="dxa"/>
              <w:right w:w="24" w:type="dxa"/>
            </w:tcMar>
            <w:vAlign w:val="center"/>
            <w:hideMark/>
          </w:tcPr>
          <w:p w14:paraId="5E1190DD" w14:textId="77777777" w:rsidR="00903FF7" w:rsidRPr="003E3DFC" w:rsidRDefault="00903FF7" w:rsidP="00903FF7">
            <w:pPr>
              <w:pStyle w:val="NoSpacing"/>
              <w:jc w:val="center"/>
              <w:rPr>
                <w:sz w:val="22"/>
                <w:lang w:val="en-GB"/>
              </w:rPr>
            </w:pPr>
            <w:r w:rsidRPr="003E3DFC">
              <w:rPr>
                <w:sz w:val="22"/>
                <w:lang w:val="en-GB"/>
              </w:rPr>
              <w:t>8.3</w:t>
            </w:r>
          </w:p>
        </w:tc>
        <w:tc>
          <w:tcPr>
            <w:tcW w:w="465" w:type="pct"/>
            <w:shd w:val="clear" w:color="auto" w:fill="auto"/>
            <w:tcMar>
              <w:top w:w="15" w:type="dxa"/>
              <w:left w:w="24" w:type="dxa"/>
              <w:bottom w:w="0" w:type="dxa"/>
              <w:right w:w="24" w:type="dxa"/>
            </w:tcMar>
            <w:vAlign w:val="center"/>
            <w:hideMark/>
          </w:tcPr>
          <w:p w14:paraId="62EF55AF" w14:textId="77777777" w:rsidR="00903FF7" w:rsidRPr="003E3DFC" w:rsidRDefault="00903FF7" w:rsidP="00903FF7">
            <w:pPr>
              <w:pStyle w:val="NoSpacing"/>
              <w:jc w:val="center"/>
              <w:rPr>
                <w:sz w:val="22"/>
                <w:lang w:val="en-GB"/>
              </w:rPr>
            </w:pPr>
            <w:r w:rsidRPr="003E3DFC">
              <w:rPr>
                <w:sz w:val="22"/>
                <w:lang w:val="en-GB"/>
              </w:rPr>
              <w:t>8.3</w:t>
            </w:r>
          </w:p>
        </w:tc>
        <w:tc>
          <w:tcPr>
            <w:tcW w:w="465" w:type="pct"/>
            <w:shd w:val="clear" w:color="auto" w:fill="auto"/>
            <w:tcMar>
              <w:top w:w="15" w:type="dxa"/>
              <w:left w:w="24" w:type="dxa"/>
              <w:bottom w:w="0" w:type="dxa"/>
              <w:right w:w="24" w:type="dxa"/>
            </w:tcMar>
            <w:vAlign w:val="center"/>
            <w:hideMark/>
          </w:tcPr>
          <w:p w14:paraId="12B70DE4" w14:textId="77777777" w:rsidR="00903FF7" w:rsidRPr="003E3DFC" w:rsidRDefault="00903FF7" w:rsidP="00903FF7">
            <w:pPr>
              <w:pStyle w:val="NoSpacing"/>
              <w:jc w:val="center"/>
              <w:rPr>
                <w:sz w:val="22"/>
                <w:lang w:val="en-GB"/>
              </w:rPr>
            </w:pPr>
            <w:r w:rsidRPr="003E3DFC">
              <w:rPr>
                <w:sz w:val="22"/>
                <w:lang w:val="en-GB"/>
              </w:rPr>
              <w:t>25.7</w:t>
            </w:r>
          </w:p>
        </w:tc>
        <w:tc>
          <w:tcPr>
            <w:tcW w:w="465" w:type="pct"/>
            <w:shd w:val="clear" w:color="auto" w:fill="auto"/>
            <w:tcMar>
              <w:top w:w="15" w:type="dxa"/>
              <w:left w:w="24" w:type="dxa"/>
              <w:bottom w:w="0" w:type="dxa"/>
              <w:right w:w="24" w:type="dxa"/>
            </w:tcMar>
            <w:vAlign w:val="center"/>
            <w:hideMark/>
          </w:tcPr>
          <w:p w14:paraId="139CAC36" w14:textId="77777777" w:rsidR="00903FF7" w:rsidRPr="003E3DFC" w:rsidRDefault="00903FF7" w:rsidP="00903FF7">
            <w:pPr>
              <w:pStyle w:val="NoSpacing"/>
              <w:jc w:val="center"/>
              <w:rPr>
                <w:sz w:val="22"/>
                <w:lang w:val="en-GB"/>
              </w:rPr>
            </w:pPr>
            <w:r w:rsidRPr="003E3DFC">
              <w:rPr>
                <w:sz w:val="22"/>
                <w:lang w:val="en-GB"/>
              </w:rPr>
              <w:t>11.1</w:t>
            </w:r>
          </w:p>
        </w:tc>
        <w:tc>
          <w:tcPr>
            <w:tcW w:w="466" w:type="pct"/>
            <w:shd w:val="clear" w:color="auto" w:fill="auto"/>
            <w:tcMar>
              <w:top w:w="15" w:type="dxa"/>
              <w:left w:w="24" w:type="dxa"/>
              <w:bottom w:w="0" w:type="dxa"/>
              <w:right w:w="24" w:type="dxa"/>
            </w:tcMar>
            <w:vAlign w:val="center"/>
            <w:hideMark/>
          </w:tcPr>
          <w:p w14:paraId="7C8758EC" w14:textId="77777777" w:rsidR="00903FF7" w:rsidRPr="003E3DFC" w:rsidRDefault="00903FF7" w:rsidP="00903FF7">
            <w:pPr>
              <w:pStyle w:val="NoSpacing"/>
              <w:jc w:val="center"/>
              <w:rPr>
                <w:sz w:val="22"/>
                <w:lang w:val="en-GB"/>
              </w:rPr>
            </w:pPr>
            <w:r w:rsidRPr="003E3DFC">
              <w:rPr>
                <w:sz w:val="22"/>
                <w:lang w:val="en-GB"/>
              </w:rPr>
              <w:t>10.9</w:t>
            </w:r>
          </w:p>
        </w:tc>
        <w:tc>
          <w:tcPr>
            <w:tcW w:w="465" w:type="pct"/>
            <w:shd w:val="clear" w:color="auto" w:fill="auto"/>
            <w:tcMar>
              <w:top w:w="15" w:type="dxa"/>
              <w:left w:w="24" w:type="dxa"/>
              <w:bottom w:w="0" w:type="dxa"/>
              <w:right w:w="24" w:type="dxa"/>
            </w:tcMar>
            <w:vAlign w:val="center"/>
            <w:hideMark/>
          </w:tcPr>
          <w:p w14:paraId="6F6B569C" w14:textId="77777777" w:rsidR="00903FF7" w:rsidRPr="003E3DFC" w:rsidRDefault="00903FF7" w:rsidP="00903FF7">
            <w:pPr>
              <w:pStyle w:val="NoSpacing"/>
              <w:jc w:val="center"/>
              <w:rPr>
                <w:sz w:val="22"/>
                <w:lang w:val="en-GB"/>
              </w:rPr>
            </w:pPr>
            <w:r w:rsidRPr="003E3DFC">
              <w:rPr>
                <w:sz w:val="22"/>
                <w:lang w:val="en-GB"/>
              </w:rPr>
              <w:t>5.4</w:t>
            </w:r>
          </w:p>
        </w:tc>
        <w:tc>
          <w:tcPr>
            <w:tcW w:w="465" w:type="pct"/>
            <w:shd w:val="clear" w:color="auto" w:fill="auto"/>
            <w:tcMar>
              <w:top w:w="15" w:type="dxa"/>
              <w:left w:w="24" w:type="dxa"/>
              <w:bottom w:w="0" w:type="dxa"/>
              <w:right w:w="24" w:type="dxa"/>
            </w:tcMar>
            <w:vAlign w:val="center"/>
            <w:hideMark/>
          </w:tcPr>
          <w:p w14:paraId="03E688B3" w14:textId="77777777" w:rsidR="00903FF7" w:rsidRPr="003E3DFC" w:rsidRDefault="00903FF7" w:rsidP="00903FF7">
            <w:pPr>
              <w:pStyle w:val="NoSpacing"/>
              <w:jc w:val="center"/>
              <w:rPr>
                <w:sz w:val="22"/>
                <w:lang w:val="en-GB"/>
              </w:rPr>
            </w:pPr>
            <w:r w:rsidRPr="003E3DFC">
              <w:rPr>
                <w:sz w:val="22"/>
                <w:lang w:val="en-GB"/>
              </w:rPr>
              <w:t>2.8</w:t>
            </w:r>
          </w:p>
        </w:tc>
        <w:tc>
          <w:tcPr>
            <w:tcW w:w="465" w:type="pct"/>
            <w:shd w:val="clear" w:color="auto" w:fill="auto"/>
            <w:tcMar>
              <w:top w:w="15" w:type="dxa"/>
              <w:left w:w="24" w:type="dxa"/>
              <w:bottom w:w="0" w:type="dxa"/>
              <w:right w:w="24" w:type="dxa"/>
            </w:tcMar>
            <w:vAlign w:val="center"/>
            <w:hideMark/>
          </w:tcPr>
          <w:p w14:paraId="3E16EF67" w14:textId="77777777" w:rsidR="00903FF7" w:rsidRPr="003E3DFC" w:rsidRDefault="00903FF7" w:rsidP="00903FF7">
            <w:pPr>
              <w:pStyle w:val="NoSpacing"/>
              <w:jc w:val="center"/>
              <w:rPr>
                <w:sz w:val="22"/>
                <w:lang w:val="en-GB"/>
              </w:rPr>
            </w:pPr>
            <w:r w:rsidRPr="003E3DFC">
              <w:rPr>
                <w:sz w:val="22"/>
                <w:lang w:val="en-GB"/>
              </w:rPr>
              <w:t>2.6</w:t>
            </w:r>
          </w:p>
        </w:tc>
      </w:tr>
      <w:tr w:rsidR="00903FF7" w:rsidRPr="003E3DFC" w14:paraId="5332E52E" w14:textId="77777777" w:rsidTr="00903FF7">
        <w:trPr>
          <w:trHeight w:val="405"/>
        </w:trPr>
        <w:tc>
          <w:tcPr>
            <w:tcW w:w="814" w:type="pct"/>
            <w:shd w:val="clear" w:color="auto" w:fill="auto"/>
            <w:tcMar>
              <w:top w:w="15" w:type="dxa"/>
              <w:left w:w="24" w:type="dxa"/>
              <w:bottom w:w="0" w:type="dxa"/>
              <w:right w:w="24" w:type="dxa"/>
            </w:tcMar>
            <w:vAlign w:val="center"/>
            <w:hideMark/>
          </w:tcPr>
          <w:p w14:paraId="267703D9" w14:textId="77777777" w:rsidR="00903FF7" w:rsidRPr="003E3DFC" w:rsidRDefault="00903FF7" w:rsidP="00903FF7">
            <w:pPr>
              <w:pStyle w:val="NoSpacing"/>
              <w:jc w:val="left"/>
              <w:rPr>
                <w:b/>
                <w:sz w:val="22"/>
                <w:lang w:val="en-GB"/>
              </w:rPr>
            </w:pPr>
            <w:r w:rsidRPr="003E3DFC">
              <w:rPr>
                <w:b/>
                <w:sz w:val="22"/>
                <w:lang w:val="en-GB"/>
              </w:rPr>
              <w:t>Greece</w:t>
            </w:r>
          </w:p>
        </w:tc>
        <w:tc>
          <w:tcPr>
            <w:tcW w:w="465" w:type="pct"/>
            <w:shd w:val="clear" w:color="auto" w:fill="auto"/>
            <w:tcMar>
              <w:top w:w="15" w:type="dxa"/>
              <w:left w:w="24" w:type="dxa"/>
              <w:bottom w:w="0" w:type="dxa"/>
              <w:right w:w="24" w:type="dxa"/>
            </w:tcMar>
            <w:vAlign w:val="center"/>
            <w:hideMark/>
          </w:tcPr>
          <w:p w14:paraId="3EDB6E8E" w14:textId="77777777" w:rsidR="00903FF7" w:rsidRPr="003E3DFC" w:rsidRDefault="00903FF7" w:rsidP="00903FF7">
            <w:pPr>
              <w:pStyle w:val="NoSpacing"/>
              <w:jc w:val="center"/>
              <w:rPr>
                <w:sz w:val="22"/>
                <w:lang w:val="en-GB"/>
              </w:rPr>
            </w:pPr>
            <w:r w:rsidRPr="003E3DFC">
              <w:rPr>
                <w:sz w:val="22"/>
                <w:lang w:val="en-GB"/>
              </w:rPr>
              <w:t>34.2</w:t>
            </w:r>
          </w:p>
        </w:tc>
        <w:tc>
          <w:tcPr>
            <w:tcW w:w="465" w:type="pct"/>
            <w:shd w:val="clear" w:color="auto" w:fill="auto"/>
            <w:tcMar>
              <w:top w:w="15" w:type="dxa"/>
              <w:left w:w="24" w:type="dxa"/>
              <w:bottom w:w="0" w:type="dxa"/>
              <w:right w:w="24" w:type="dxa"/>
            </w:tcMar>
            <w:vAlign w:val="center"/>
            <w:hideMark/>
          </w:tcPr>
          <w:p w14:paraId="032D0572" w14:textId="77777777" w:rsidR="00903FF7" w:rsidRPr="003E3DFC" w:rsidRDefault="00903FF7" w:rsidP="00903FF7">
            <w:pPr>
              <w:pStyle w:val="NoSpacing"/>
              <w:jc w:val="center"/>
              <w:rPr>
                <w:sz w:val="22"/>
                <w:lang w:val="en-GB"/>
              </w:rPr>
            </w:pPr>
            <w:r w:rsidRPr="003E3DFC">
              <w:rPr>
                <w:sz w:val="22"/>
                <w:lang w:val="en-GB"/>
              </w:rPr>
              <w:t>13.2</w:t>
            </w:r>
          </w:p>
        </w:tc>
        <w:tc>
          <w:tcPr>
            <w:tcW w:w="465" w:type="pct"/>
            <w:shd w:val="clear" w:color="auto" w:fill="auto"/>
            <w:tcMar>
              <w:top w:w="15" w:type="dxa"/>
              <w:left w:w="24" w:type="dxa"/>
              <w:bottom w:w="0" w:type="dxa"/>
              <w:right w:w="24" w:type="dxa"/>
            </w:tcMar>
            <w:vAlign w:val="center"/>
            <w:hideMark/>
          </w:tcPr>
          <w:p w14:paraId="7136A14E" w14:textId="77777777" w:rsidR="00903FF7" w:rsidRPr="003E3DFC" w:rsidRDefault="00903FF7" w:rsidP="00903FF7">
            <w:pPr>
              <w:pStyle w:val="NoSpacing"/>
              <w:jc w:val="center"/>
              <w:rPr>
                <w:sz w:val="22"/>
                <w:lang w:val="en-GB"/>
              </w:rPr>
            </w:pPr>
            <w:r w:rsidRPr="003E3DFC">
              <w:rPr>
                <w:sz w:val="22"/>
                <w:lang w:val="en-GB"/>
              </w:rPr>
              <w:t>5.9</w:t>
            </w:r>
          </w:p>
        </w:tc>
        <w:tc>
          <w:tcPr>
            <w:tcW w:w="465" w:type="pct"/>
            <w:shd w:val="clear" w:color="auto" w:fill="auto"/>
            <w:tcMar>
              <w:top w:w="15" w:type="dxa"/>
              <w:left w:w="24" w:type="dxa"/>
              <w:bottom w:w="0" w:type="dxa"/>
              <w:right w:w="24" w:type="dxa"/>
            </w:tcMar>
            <w:vAlign w:val="center"/>
            <w:hideMark/>
          </w:tcPr>
          <w:p w14:paraId="57D724B3" w14:textId="77777777" w:rsidR="00903FF7" w:rsidRPr="003E3DFC" w:rsidRDefault="00903FF7" w:rsidP="00903FF7">
            <w:pPr>
              <w:pStyle w:val="NoSpacing"/>
              <w:jc w:val="center"/>
              <w:rPr>
                <w:sz w:val="22"/>
                <w:lang w:val="en-GB"/>
              </w:rPr>
            </w:pPr>
            <w:r w:rsidRPr="003E3DFC">
              <w:rPr>
                <w:sz w:val="22"/>
                <w:lang w:val="en-GB"/>
              </w:rPr>
              <w:t>63.8</w:t>
            </w:r>
          </w:p>
        </w:tc>
        <w:tc>
          <w:tcPr>
            <w:tcW w:w="465" w:type="pct"/>
            <w:shd w:val="clear" w:color="auto" w:fill="auto"/>
            <w:tcMar>
              <w:top w:w="15" w:type="dxa"/>
              <w:left w:w="24" w:type="dxa"/>
              <w:bottom w:w="0" w:type="dxa"/>
              <w:right w:w="24" w:type="dxa"/>
            </w:tcMar>
            <w:vAlign w:val="center"/>
            <w:hideMark/>
          </w:tcPr>
          <w:p w14:paraId="73A7BF11" w14:textId="77777777" w:rsidR="00903FF7" w:rsidRPr="003E3DFC" w:rsidRDefault="00903FF7" w:rsidP="00903FF7">
            <w:pPr>
              <w:pStyle w:val="NoSpacing"/>
              <w:jc w:val="center"/>
              <w:rPr>
                <w:sz w:val="22"/>
                <w:lang w:val="en-GB"/>
              </w:rPr>
            </w:pPr>
            <w:r w:rsidRPr="003E3DFC">
              <w:rPr>
                <w:sz w:val="22"/>
                <w:lang w:val="en-GB"/>
              </w:rPr>
              <w:t>32.0</w:t>
            </w:r>
          </w:p>
        </w:tc>
        <w:tc>
          <w:tcPr>
            <w:tcW w:w="466" w:type="pct"/>
            <w:shd w:val="clear" w:color="auto" w:fill="auto"/>
            <w:tcMar>
              <w:top w:w="15" w:type="dxa"/>
              <w:left w:w="24" w:type="dxa"/>
              <w:bottom w:w="0" w:type="dxa"/>
              <w:right w:w="24" w:type="dxa"/>
            </w:tcMar>
            <w:vAlign w:val="center"/>
            <w:hideMark/>
          </w:tcPr>
          <w:p w14:paraId="0559D96E" w14:textId="77777777" w:rsidR="00903FF7" w:rsidRPr="003E3DFC" w:rsidRDefault="00903FF7" w:rsidP="00903FF7">
            <w:pPr>
              <w:pStyle w:val="NoSpacing"/>
              <w:jc w:val="center"/>
              <w:rPr>
                <w:sz w:val="22"/>
                <w:lang w:val="en-GB"/>
              </w:rPr>
            </w:pPr>
            <w:r w:rsidRPr="003E3DFC">
              <w:rPr>
                <w:sz w:val="22"/>
                <w:lang w:val="en-GB"/>
              </w:rPr>
              <w:t>19.7</w:t>
            </w:r>
          </w:p>
        </w:tc>
        <w:tc>
          <w:tcPr>
            <w:tcW w:w="465" w:type="pct"/>
            <w:shd w:val="clear" w:color="auto" w:fill="auto"/>
            <w:tcMar>
              <w:top w:w="15" w:type="dxa"/>
              <w:left w:w="24" w:type="dxa"/>
              <w:bottom w:w="0" w:type="dxa"/>
              <w:right w:w="24" w:type="dxa"/>
            </w:tcMar>
            <w:vAlign w:val="center"/>
            <w:hideMark/>
          </w:tcPr>
          <w:p w14:paraId="62F6F3F3" w14:textId="77777777" w:rsidR="00903FF7" w:rsidRPr="003E3DFC" w:rsidRDefault="00903FF7" w:rsidP="00903FF7">
            <w:pPr>
              <w:pStyle w:val="NoSpacing"/>
              <w:jc w:val="center"/>
              <w:rPr>
                <w:sz w:val="22"/>
                <w:lang w:val="en-GB"/>
              </w:rPr>
            </w:pPr>
            <w:r w:rsidRPr="003E3DFC">
              <w:rPr>
                <w:sz w:val="22"/>
                <w:lang w:val="en-GB"/>
              </w:rPr>
              <w:t>29.6</w:t>
            </w:r>
          </w:p>
        </w:tc>
        <w:tc>
          <w:tcPr>
            <w:tcW w:w="465" w:type="pct"/>
            <w:shd w:val="clear" w:color="auto" w:fill="auto"/>
            <w:tcMar>
              <w:top w:w="15" w:type="dxa"/>
              <w:left w:w="24" w:type="dxa"/>
              <w:bottom w:w="0" w:type="dxa"/>
              <w:right w:w="24" w:type="dxa"/>
            </w:tcMar>
            <w:vAlign w:val="center"/>
            <w:hideMark/>
          </w:tcPr>
          <w:p w14:paraId="36F9AAD0" w14:textId="77777777" w:rsidR="00903FF7" w:rsidRPr="003E3DFC" w:rsidRDefault="00903FF7" w:rsidP="00903FF7">
            <w:pPr>
              <w:pStyle w:val="NoSpacing"/>
              <w:jc w:val="center"/>
              <w:rPr>
                <w:sz w:val="22"/>
                <w:lang w:val="en-GB"/>
              </w:rPr>
            </w:pPr>
            <w:r w:rsidRPr="003E3DFC">
              <w:rPr>
                <w:sz w:val="22"/>
                <w:lang w:val="en-GB"/>
              </w:rPr>
              <w:t>18.8</w:t>
            </w:r>
          </w:p>
        </w:tc>
        <w:tc>
          <w:tcPr>
            <w:tcW w:w="465" w:type="pct"/>
            <w:shd w:val="clear" w:color="auto" w:fill="auto"/>
            <w:tcMar>
              <w:top w:w="15" w:type="dxa"/>
              <w:left w:w="24" w:type="dxa"/>
              <w:bottom w:w="0" w:type="dxa"/>
              <w:right w:w="24" w:type="dxa"/>
            </w:tcMar>
            <w:vAlign w:val="center"/>
            <w:hideMark/>
          </w:tcPr>
          <w:p w14:paraId="231AB8DE" w14:textId="77777777" w:rsidR="00903FF7" w:rsidRPr="003E3DFC" w:rsidRDefault="00903FF7" w:rsidP="00903FF7">
            <w:pPr>
              <w:pStyle w:val="NoSpacing"/>
              <w:jc w:val="center"/>
              <w:rPr>
                <w:sz w:val="22"/>
                <w:lang w:val="en-GB"/>
              </w:rPr>
            </w:pPr>
            <w:r w:rsidRPr="003E3DFC">
              <w:rPr>
                <w:sz w:val="22"/>
                <w:lang w:val="en-GB"/>
              </w:rPr>
              <w:t>13.8</w:t>
            </w:r>
          </w:p>
        </w:tc>
      </w:tr>
      <w:tr w:rsidR="00903FF7" w:rsidRPr="003E3DFC" w14:paraId="03B7CA48" w14:textId="77777777" w:rsidTr="00903FF7">
        <w:trPr>
          <w:trHeight w:val="405"/>
        </w:trPr>
        <w:tc>
          <w:tcPr>
            <w:tcW w:w="814" w:type="pct"/>
            <w:shd w:val="clear" w:color="auto" w:fill="auto"/>
            <w:tcMar>
              <w:top w:w="15" w:type="dxa"/>
              <w:left w:w="24" w:type="dxa"/>
              <w:bottom w:w="0" w:type="dxa"/>
              <w:right w:w="24" w:type="dxa"/>
            </w:tcMar>
            <w:vAlign w:val="center"/>
            <w:hideMark/>
          </w:tcPr>
          <w:p w14:paraId="628EE8F4" w14:textId="77777777" w:rsidR="00903FF7" w:rsidRPr="003E3DFC" w:rsidRDefault="00903FF7" w:rsidP="00903FF7">
            <w:pPr>
              <w:pStyle w:val="NoSpacing"/>
              <w:jc w:val="left"/>
              <w:rPr>
                <w:b/>
                <w:sz w:val="22"/>
                <w:lang w:val="en-GB"/>
              </w:rPr>
            </w:pPr>
            <w:r w:rsidRPr="003E3DFC">
              <w:rPr>
                <w:b/>
                <w:sz w:val="22"/>
                <w:lang w:val="en-GB"/>
              </w:rPr>
              <w:t>Croatia</w:t>
            </w:r>
          </w:p>
        </w:tc>
        <w:tc>
          <w:tcPr>
            <w:tcW w:w="465" w:type="pct"/>
            <w:shd w:val="clear" w:color="auto" w:fill="auto"/>
            <w:tcMar>
              <w:top w:w="15" w:type="dxa"/>
              <w:left w:w="24" w:type="dxa"/>
              <w:bottom w:w="0" w:type="dxa"/>
              <w:right w:w="24" w:type="dxa"/>
            </w:tcMar>
            <w:vAlign w:val="center"/>
            <w:hideMark/>
          </w:tcPr>
          <w:p w14:paraId="1F8BD147" w14:textId="77777777" w:rsidR="00903FF7" w:rsidRPr="003E3DFC" w:rsidRDefault="00903FF7" w:rsidP="00903FF7">
            <w:pPr>
              <w:pStyle w:val="NoSpacing"/>
              <w:jc w:val="center"/>
              <w:rPr>
                <w:sz w:val="22"/>
                <w:lang w:val="en-GB"/>
              </w:rPr>
            </w:pPr>
            <w:r w:rsidRPr="003E3DFC">
              <w:rPr>
                <w:sz w:val="22"/>
                <w:lang w:val="en-GB"/>
              </w:rPr>
              <w:t>31.1</w:t>
            </w:r>
          </w:p>
        </w:tc>
        <w:tc>
          <w:tcPr>
            <w:tcW w:w="465" w:type="pct"/>
            <w:shd w:val="clear" w:color="auto" w:fill="auto"/>
            <w:tcMar>
              <w:top w:w="15" w:type="dxa"/>
              <w:left w:w="24" w:type="dxa"/>
              <w:bottom w:w="0" w:type="dxa"/>
              <w:right w:w="24" w:type="dxa"/>
            </w:tcMar>
            <w:vAlign w:val="center"/>
            <w:hideMark/>
          </w:tcPr>
          <w:p w14:paraId="51E85534" w14:textId="77777777" w:rsidR="00903FF7" w:rsidRPr="003E3DFC" w:rsidRDefault="00903FF7" w:rsidP="00903FF7">
            <w:pPr>
              <w:pStyle w:val="NoSpacing"/>
              <w:jc w:val="center"/>
              <w:rPr>
                <w:sz w:val="22"/>
                <w:lang w:val="en-GB"/>
              </w:rPr>
            </w:pPr>
            <w:r w:rsidRPr="003E3DFC">
              <w:rPr>
                <w:sz w:val="22"/>
                <w:lang w:val="en-GB"/>
              </w:rPr>
              <w:t>12.0</w:t>
            </w:r>
          </w:p>
        </w:tc>
        <w:tc>
          <w:tcPr>
            <w:tcW w:w="465" w:type="pct"/>
            <w:shd w:val="clear" w:color="auto" w:fill="auto"/>
            <w:tcMar>
              <w:top w:w="15" w:type="dxa"/>
              <w:left w:w="24" w:type="dxa"/>
              <w:bottom w:w="0" w:type="dxa"/>
              <w:right w:w="24" w:type="dxa"/>
            </w:tcMar>
            <w:vAlign w:val="center"/>
            <w:hideMark/>
          </w:tcPr>
          <w:p w14:paraId="59197F82" w14:textId="77777777" w:rsidR="00903FF7" w:rsidRPr="003E3DFC" w:rsidRDefault="00903FF7" w:rsidP="00903FF7">
            <w:pPr>
              <w:pStyle w:val="NoSpacing"/>
              <w:jc w:val="center"/>
              <w:rPr>
                <w:sz w:val="22"/>
                <w:lang w:val="en-GB"/>
              </w:rPr>
            </w:pPr>
            <w:r w:rsidRPr="003E3DFC">
              <w:rPr>
                <w:sz w:val="22"/>
                <w:lang w:val="en-GB"/>
              </w:rPr>
              <w:t>8.6</w:t>
            </w:r>
          </w:p>
        </w:tc>
        <w:tc>
          <w:tcPr>
            <w:tcW w:w="465" w:type="pct"/>
            <w:shd w:val="clear" w:color="auto" w:fill="auto"/>
            <w:tcMar>
              <w:top w:w="15" w:type="dxa"/>
              <w:left w:w="24" w:type="dxa"/>
              <w:bottom w:w="0" w:type="dxa"/>
              <w:right w:w="24" w:type="dxa"/>
            </w:tcMar>
            <w:vAlign w:val="center"/>
            <w:hideMark/>
          </w:tcPr>
          <w:p w14:paraId="423D9357" w14:textId="77777777" w:rsidR="00903FF7" w:rsidRPr="003E3DFC" w:rsidRDefault="00903FF7" w:rsidP="00903FF7">
            <w:pPr>
              <w:pStyle w:val="NoSpacing"/>
              <w:jc w:val="center"/>
              <w:rPr>
                <w:sz w:val="22"/>
                <w:lang w:val="en-GB"/>
              </w:rPr>
            </w:pPr>
            <w:r w:rsidRPr="003E3DFC">
              <w:rPr>
                <w:sz w:val="22"/>
                <w:lang w:val="en-GB"/>
              </w:rPr>
              <w:t>50.2</w:t>
            </w:r>
          </w:p>
        </w:tc>
        <w:tc>
          <w:tcPr>
            <w:tcW w:w="465" w:type="pct"/>
            <w:shd w:val="clear" w:color="auto" w:fill="auto"/>
            <w:tcMar>
              <w:top w:w="15" w:type="dxa"/>
              <w:left w:w="24" w:type="dxa"/>
              <w:bottom w:w="0" w:type="dxa"/>
              <w:right w:w="24" w:type="dxa"/>
            </w:tcMar>
            <w:vAlign w:val="center"/>
            <w:hideMark/>
          </w:tcPr>
          <w:p w14:paraId="4F4A46C6" w14:textId="77777777" w:rsidR="00903FF7" w:rsidRPr="003E3DFC" w:rsidRDefault="00903FF7" w:rsidP="00903FF7">
            <w:pPr>
              <w:pStyle w:val="NoSpacing"/>
              <w:jc w:val="center"/>
              <w:rPr>
                <w:sz w:val="22"/>
                <w:lang w:val="en-GB"/>
              </w:rPr>
            </w:pPr>
            <w:r w:rsidRPr="003E3DFC">
              <w:rPr>
                <w:sz w:val="22"/>
                <w:lang w:val="en-GB"/>
              </w:rPr>
              <w:t>16.2</w:t>
            </w:r>
          </w:p>
        </w:tc>
        <w:tc>
          <w:tcPr>
            <w:tcW w:w="466" w:type="pct"/>
            <w:shd w:val="clear" w:color="auto" w:fill="auto"/>
            <w:tcMar>
              <w:top w:w="15" w:type="dxa"/>
              <w:left w:w="24" w:type="dxa"/>
              <w:bottom w:w="0" w:type="dxa"/>
              <w:right w:w="24" w:type="dxa"/>
            </w:tcMar>
            <w:vAlign w:val="center"/>
            <w:hideMark/>
          </w:tcPr>
          <w:p w14:paraId="6F89EF6C" w14:textId="77777777" w:rsidR="00903FF7" w:rsidRPr="003E3DFC" w:rsidRDefault="00903FF7" w:rsidP="00903FF7">
            <w:pPr>
              <w:pStyle w:val="NoSpacing"/>
              <w:jc w:val="center"/>
              <w:rPr>
                <w:sz w:val="22"/>
                <w:lang w:val="en-GB"/>
              </w:rPr>
            </w:pPr>
            <w:r w:rsidRPr="003E3DFC">
              <w:rPr>
                <w:sz w:val="22"/>
                <w:lang w:val="en-GB"/>
              </w:rPr>
              <w:t>9.6</w:t>
            </w:r>
          </w:p>
        </w:tc>
        <w:tc>
          <w:tcPr>
            <w:tcW w:w="465" w:type="pct"/>
            <w:shd w:val="clear" w:color="auto" w:fill="auto"/>
            <w:tcMar>
              <w:top w:w="15" w:type="dxa"/>
              <w:left w:w="24" w:type="dxa"/>
              <w:bottom w:w="0" w:type="dxa"/>
              <w:right w:w="24" w:type="dxa"/>
            </w:tcMar>
            <w:vAlign w:val="center"/>
            <w:hideMark/>
          </w:tcPr>
          <w:p w14:paraId="19B2E5BE" w14:textId="77777777" w:rsidR="00903FF7" w:rsidRPr="003E3DFC" w:rsidRDefault="00903FF7" w:rsidP="00903FF7">
            <w:pPr>
              <w:pStyle w:val="NoSpacing"/>
              <w:jc w:val="center"/>
              <w:rPr>
                <w:sz w:val="22"/>
                <w:lang w:val="en-GB"/>
              </w:rPr>
            </w:pPr>
            <w:r w:rsidRPr="003E3DFC">
              <w:rPr>
                <w:sz w:val="22"/>
                <w:lang w:val="en-GB"/>
              </w:rPr>
              <w:t>19.1</w:t>
            </w:r>
          </w:p>
        </w:tc>
        <w:tc>
          <w:tcPr>
            <w:tcW w:w="465" w:type="pct"/>
            <w:shd w:val="clear" w:color="auto" w:fill="auto"/>
            <w:tcMar>
              <w:top w:w="15" w:type="dxa"/>
              <w:left w:w="24" w:type="dxa"/>
              <w:bottom w:w="0" w:type="dxa"/>
              <w:right w:w="24" w:type="dxa"/>
            </w:tcMar>
            <w:vAlign w:val="center"/>
            <w:hideMark/>
          </w:tcPr>
          <w:p w14:paraId="7F2465E3" w14:textId="77777777" w:rsidR="00903FF7" w:rsidRPr="003E3DFC" w:rsidRDefault="00903FF7" w:rsidP="00903FF7">
            <w:pPr>
              <w:pStyle w:val="NoSpacing"/>
              <w:jc w:val="center"/>
              <w:rPr>
                <w:sz w:val="22"/>
                <w:lang w:val="en-GB"/>
              </w:rPr>
            </w:pPr>
            <w:r w:rsidRPr="003E3DFC">
              <w:rPr>
                <w:sz w:val="22"/>
                <w:lang w:val="en-GB"/>
              </w:rPr>
              <w:t>4.2</w:t>
            </w:r>
          </w:p>
        </w:tc>
        <w:tc>
          <w:tcPr>
            <w:tcW w:w="465" w:type="pct"/>
            <w:shd w:val="clear" w:color="auto" w:fill="auto"/>
            <w:tcMar>
              <w:top w:w="15" w:type="dxa"/>
              <w:left w:w="24" w:type="dxa"/>
              <w:bottom w:w="0" w:type="dxa"/>
              <w:right w:w="24" w:type="dxa"/>
            </w:tcMar>
            <w:vAlign w:val="center"/>
            <w:hideMark/>
          </w:tcPr>
          <w:p w14:paraId="3265BAB0" w14:textId="77777777" w:rsidR="00903FF7" w:rsidRPr="003E3DFC" w:rsidRDefault="00903FF7" w:rsidP="00903FF7">
            <w:pPr>
              <w:pStyle w:val="NoSpacing"/>
              <w:jc w:val="center"/>
              <w:rPr>
                <w:sz w:val="22"/>
                <w:lang w:val="en-GB"/>
              </w:rPr>
            </w:pPr>
            <w:r w:rsidRPr="003E3DFC">
              <w:rPr>
                <w:sz w:val="22"/>
                <w:lang w:val="en-GB"/>
              </w:rPr>
              <w:t>1.0</w:t>
            </w:r>
          </w:p>
        </w:tc>
      </w:tr>
      <w:tr w:rsidR="00903FF7" w:rsidRPr="003E3DFC" w14:paraId="697D41C4" w14:textId="77777777" w:rsidTr="00903FF7">
        <w:trPr>
          <w:trHeight w:val="405"/>
        </w:trPr>
        <w:tc>
          <w:tcPr>
            <w:tcW w:w="814" w:type="pct"/>
            <w:shd w:val="clear" w:color="auto" w:fill="auto"/>
            <w:tcMar>
              <w:top w:w="15" w:type="dxa"/>
              <w:left w:w="24" w:type="dxa"/>
              <w:bottom w:w="0" w:type="dxa"/>
              <w:right w:w="24" w:type="dxa"/>
            </w:tcMar>
            <w:vAlign w:val="center"/>
            <w:hideMark/>
          </w:tcPr>
          <w:p w14:paraId="3CD7E58D" w14:textId="77777777" w:rsidR="00903FF7" w:rsidRPr="003E3DFC" w:rsidRDefault="00903FF7" w:rsidP="00903FF7">
            <w:pPr>
              <w:pStyle w:val="NoSpacing"/>
              <w:jc w:val="left"/>
              <w:rPr>
                <w:b/>
                <w:sz w:val="22"/>
                <w:lang w:val="en-GB"/>
              </w:rPr>
            </w:pPr>
            <w:r w:rsidRPr="003E3DFC">
              <w:rPr>
                <w:b/>
                <w:sz w:val="22"/>
                <w:lang w:val="en-GB"/>
              </w:rPr>
              <w:t>Slovenia</w:t>
            </w:r>
          </w:p>
        </w:tc>
        <w:tc>
          <w:tcPr>
            <w:tcW w:w="465" w:type="pct"/>
            <w:shd w:val="clear" w:color="auto" w:fill="auto"/>
            <w:tcMar>
              <w:top w:w="15" w:type="dxa"/>
              <w:left w:w="24" w:type="dxa"/>
              <w:bottom w:w="0" w:type="dxa"/>
              <w:right w:w="24" w:type="dxa"/>
            </w:tcMar>
            <w:vAlign w:val="center"/>
            <w:hideMark/>
          </w:tcPr>
          <w:p w14:paraId="418E314F" w14:textId="77777777" w:rsidR="00903FF7" w:rsidRPr="003E3DFC" w:rsidRDefault="00903FF7" w:rsidP="00903FF7">
            <w:pPr>
              <w:pStyle w:val="NoSpacing"/>
              <w:jc w:val="center"/>
              <w:rPr>
                <w:sz w:val="22"/>
                <w:lang w:val="en-GB"/>
              </w:rPr>
            </w:pPr>
            <w:r w:rsidRPr="003E3DFC">
              <w:rPr>
                <w:sz w:val="22"/>
                <w:lang w:val="en-GB"/>
              </w:rPr>
              <w:t>16.8</w:t>
            </w:r>
          </w:p>
        </w:tc>
        <w:tc>
          <w:tcPr>
            <w:tcW w:w="465" w:type="pct"/>
            <w:shd w:val="clear" w:color="auto" w:fill="auto"/>
            <w:tcMar>
              <w:top w:w="15" w:type="dxa"/>
              <w:left w:w="24" w:type="dxa"/>
              <w:bottom w:w="0" w:type="dxa"/>
              <w:right w:w="24" w:type="dxa"/>
            </w:tcMar>
            <w:vAlign w:val="center"/>
            <w:hideMark/>
          </w:tcPr>
          <w:p w14:paraId="07066A6F" w14:textId="77777777" w:rsidR="00903FF7" w:rsidRPr="003E3DFC" w:rsidRDefault="00903FF7" w:rsidP="00903FF7">
            <w:pPr>
              <w:pStyle w:val="NoSpacing"/>
              <w:jc w:val="center"/>
              <w:rPr>
                <w:sz w:val="22"/>
                <w:lang w:val="en-GB"/>
              </w:rPr>
            </w:pPr>
            <w:r w:rsidRPr="003E3DFC">
              <w:rPr>
                <w:sz w:val="22"/>
                <w:lang w:val="en-GB"/>
              </w:rPr>
              <w:t>6.8</w:t>
            </w:r>
          </w:p>
        </w:tc>
        <w:tc>
          <w:tcPr>
            <w:tcW w:w="465" w:type="pct"/>
            <w:shd w:val="clear" w:color="auto" w:fill="auto"/>
            <w:tcMar>
              <w:top w:w="15" w:type="dxa"/>
              <w:left w:w="24" w:type="dxa"/>
              <w:bottom w:w="0" w:type="dxa"/>
              <w:right w:w="24" w:type="dxa"/>
            </w:tcMar>
            <w:vAlign w:val="center"/>
            <w:hideMark/>
          </w:tcPr>
          <w:p w14:paraId="1C2DE9C9" w14:textId="77777777" w:rsidR="00903FF7" w:rsidRPr="003E3DFC" w:rsidRDefault="00903FF7" w:rsidP="00903FF7">
            <w:pPr>
              <w:pStyle w:val="NoSpacing"/>
              <w:jc w:val="center"/>
              <w:rPr>
                <w:sz w:val="22"/>
                <w:lang w:val="en-GB"/>
              </w:rPr>
            </w:pPr>
            <w:r w:rsidRPr="003E3DFC">
              <w:rPr>
                <w:sz w:val="22"/>
                <w:lang w:val="en-GB"/>
              </w:rPr>
              <w:t>4.3</w:t>
            </w:r>
          </w:p>
        </w:tc>
        <w:tc>
          <w:tcPr>
            <w:tcW w:w="465" w:type="pct"/>
            <w:shd w:val="clear" w:color="auto" w:fill="auto"/>
            <w:tcMar>
              <w:top w:w="15" w:type="dxa"/>
              <w:left w:w="24" w:type="dxa"/>
              <w:bottom w:w="0" w:type="dxa"/>
              <w:right w:w="24" w:type="dxa"/>
            </w:tcMar>
            <w:vAlign w:val="center"/>
            <w:hideMark/>
          </w:tcPr>
          <w:p w14:paraId="286E861C" w14:textId="77777777" w:rsidR="00903FF7" w:rsidRPr="003E3DFC" w:rsidRDefault="00903FF7" w:rsidP="00903FF7">
            <w:pPr>
              <w:pStyle w:val="NoSpacing"/>
              <w:jc w:val="center"/>
              <w:rPr>
                <w:sz w:val="22"/>
                <w:lang w:val="en-GB"/>
              </w:rPr>
            </w:pPr>
            <w:r w:rsidRPr="003E3DFC">
              <w:rPr>
                <w:sz w:val="22"/>
                <w:lang w:val="en-GB"/>
              </w:rPr>
              <w:t>23.7</w:t>
            </w:r>
          </w:p>
        </w:tc>
        <w:tc>
          <w:tcPr>
            <w:tcW w:w="465" w:type="pct"/>
            <w:shd w:val="clear" w:color="auto" w:fill="auto"/>
            <w:tcMar>
              <w:top w:w="15" w:type="dxa"/>
              <w:left w:w="24" w:type="dxa"/>
              <w:bottom w:w="0" w:type="dxa"/>
              <w:right w:w="24" w:type="dxa"/>
            </w:tcMar>
            <w:vAlign w:val="center"/>
            <w:hideMark/>
          </w:tcPr>
          <w:p w14:paraId="331B9B97" w14:textId="77777777" w:rsidR="00903FF7" w:rsidRPr="003E3DFC" w:rsidRDefault="00903FF7" w:rsidP="00903FF7">
            <w:pPr>
              <w:pStyle w:val="NoSpacing"/>
              <w:jc w:val="center"/>
              <w:rPr>
                <w:sz w:val="22"/>
                <w:lang w:val="en-GB"/>
              </w:rPr>
            </w:pPr>
            <w:r w:rsidRPr="003E3DFC">
              <w:rPr>
                <w:sz w:val="22"/>
                <w:lang w:val="en-GB"/>
              </w:rPr>
              <w:t>10.8</w:t>
            </w:r>
          </w:p>
        </w:tc>
        <w:tc>
          <w:tcPr>
            <w:tcW w:w="466" w:type="pct"/>
            <w:shd w:val="clear" w:color="auto" w:fill="auto"/>
            <w:tcMar>
              <w:top w:w="15" w:type="dxa"/>
              <w:left w:w="24" w:type="dxa"/>
              <w:bottom w:w="0" w:type="dxa"/>
              <w:right w:w="24" w:type="dxa"/>
            </w:tcMar>
            <w:vAlign w:val="center"/>
            <w:hideMark/>
          </w:tcPr>
          <w:p w14:paraId="452CCB45" w14:textId="77777777" w:rsidR="00903FF7" w:rsidRPr="003E3DFC" w:rsidRDefault="00903FF7" w:rsidP="00903FF7">
            <w:pPr>
              <w:pStyle w:val="NoSpacing"/>
              <w:jc w:val="center"/>
              <w:rPr>
                <w:sz w:val="22"/>
                <w:lang w:val="en-GB"/>
              </w:rPr>
            </w:pPr>
            <w:r w:rsidRPr="003E3DFC">
              <w:rPr>
                <w:sz w:val="22"/>
                <w:lang w:val="en-GB"/>
              </w:rPr>
              <w:t>8.2</w:t>
            </w:r>
          </w:p>
        </w:tc>
        <w:tc>
          <w:tcPr>
            <w:tcW w:w="465" w:type="pct"/>
            <w:shd w:val="clear" w:color="auto" w:fill="auto"/>
            <w:tcMar>
              <w:top w:w="15" w:type="dxa"/>
              <w:left w:w="24" w:type="dxa"/>
              <w:bottom w:w="0" w:type="dxa"/>
              <w:right w:w="24" w:type="dxa"/>
            </w:tcMar>
            <w:vAlign w:val="center"/>
            <w:hideMark/>
          </w:tcPr>
          <w:p w14:paraId="627EE09E" w14:textId="77777777" w:rsidR="00903FF7" w:rsidRPr="003E3DFC" w:rsidRDefault="00903FF7" w:rsidP="00903FF7">
            <w:pPr>
              <w:pStyle w:val="NoSpacing"/>
              <w:jc w:val="center"/>
              <w:rPr>
                <w:sz w:val="22"/>
                <w:lang w:val="en-GB"/>
              </w:rPr>
            </w:pPr>
            <w:r w:rsidRPr="003E3DFC">
              <w:rPr>
                <w:sz w:val="22"/>
                <w:lang w:val="en-GB"/>
              </w:rPr>
              <w:t>6.9</w:t>
            </w:r>
          </w:p>
        </w:tc>
        <w:tc>
          <w:tcPr>
            <w:tcW w:w="465" w:type="pct"/>
            <w:shd w:val="clear" w:color="auto" w:fill="auto"/>
            <w:tcMar>
              <w:top w:w="15" w:type="dxa"/>
              <w:left w:w="24" w:type="dxa"/>
              <w:bottom w:w="0" w:type="dxa"/>
              <w:right w:w="24" w:type="dxa"/>
            </w:tcMar>
            <w:vAlign w:val="center"/>
            <w:hideMark/>
          </w:tcPr>
          <w:p w14:paraId="387C0356" w14:textId="77777777" w:rsidR="00903FF7" w:rsidRPr="003E3DFC" w:rsidRDefault="00903FF7" w:rsidP="00903FF7">
            <w:pPr>
              <w:pStyle w:val="NoSpacing"/>
              <w:jc w:val="center"/>
              <w:rPr>
                <w:sz w:val="22"/>
                <w:lang w:val="en-GB"/>
              </w:rPr>
            </w:pPr>
            <w:r w:rsidRPr="003E3DFC">
              <w:rPr>
                <w:sz w:val="22"/>
                <w:lang w:val="en-GB"/>
              </w:rPr>
              <w:t>4.0</w:t>
            </w:r>
          </w:p>
        </w:tc>
        <w:tc>
          <w:tcPr>
            <w:tcW w:w="465" w:type="pct"/>
            <w:shd w:val="clear" w:color="auto" w:fill="auto"/>
            <w:tcMar>
              <w:top w:w="15" w:type="dxa"/>
              <w:left w:w="24" w:type="dxa"/>
              <w:bottom w:w="0" w:type="dxa"/>
              <w:right w:w="24" w:type="dxa"/>
            </w:tcMar>
            <w:vAlign w:val="center"/>
            <w:hideMark/>
          </w:tcPr>
          <w:p w14:paraId="0898D057" w14:textId="77777777" w:rsidR="00903FF7" w:rsidRPr="003E3DFC" w:rsidRDefault="00903FF7" w:rsidP="00903FF7">
            <w:pPr>
              <w:pStyle w:val="NoSpacing"/>
              <w:jc w:val="center"/>
              <w:rPr>
                <w:sz w:val="22"/>
                <w:lang w:val="en-GB"/>
              </w:rPr>
            </w:pPr>
            <w:r w:rsidRPr="003E3DFC">
              <w:rPr>
                <w:sz w:val="22"/>
                <w:lang w:val="en-GB"/>
              </w:rPr>
              <w:t>3.9</w:t>
            </w:r>
          </w:p>
        </w:tc>
      </w:tr>
      <w:tr w:rsidR="00903FF7" w:rsidRPr="003E3DFC" w14:paraId="69B3CFAE" w14:textId="77777777" w:rsidTr="00903FF7">
        <w:trPr>
          <w:trHeight w:val="405"/>
        </w:trPr>
        <w:tc>
          <w:tcPr>
            <w:tcW w:w="814" w:type="pct"/>
            <w:shd w:val="clear" w:color="auto" w:fill="auto"/>
            <w:tcMar>
              <w:top w:w="15" w:type="dxa"/>
              <w:left w:w="24" w:type="dxa"/>
              <w:bottom w:w="0" w:type="dxa"/>
              <w:right w:w="24" w:type="dxa"/>
            </w:tcMar>
            <w:vAlign w:val="center"/>
            <w:hideMark/>
          </w:tcPr>
          <w:p w14:paraId="0550E3D5" w14:textId="77777777" w:rsidR="00903FF7" w:rsidRPr="003E3DFC" w:rsidRDefault="00903FF7" w:rsidP="00903FF7">
            <w:pPr>
              <w:pStyle w:val="NoSpacing"/>
              <w:jc w:val="left"/>
              <w:rPr>
                <w:b/>
                <w:sz w:val="22"/>
                <w:lang w:val="en-GB"/>
              </w:rPr>
            </w:pPr>
            <w:r w:rsidRPr="003E3DFC">
              <w:rPr>
                <w:b/>
                <w:sz w:val="22"/>
                <w:lang w:val="en-GB"/>
              </w:rPr>
              <w:t>Macedonia</w:t>
            </w:r>
          </w:p>
        </w:tc>
        <w:tc>
          <w:tcPr>
            <w:tcW w:w="465" w:type="pct"/>
            <w:shd w:val="clear" w:color="auto" w:fill="auto"/>
            <w:tcMar>
              <w:top w:w="15" w:type="dxa"/>
              <w:left w:w="24" w:type="dxa"/>
              <w:bottom w:w="0" w:type="dxa"/>
              <w:right w:w="24" w:type="dxa"/>
            </w:tcMar>
            <w:vAlign w:val="center"/>
            <w:hideMark/>
          </w:tcPr>
          <w:p w14:paraId="0B411DE0" w14:textId="77777777" w:rsidR="00903FF7" w:rsidRPr="003E3DFC" w:rsidRDefault="00903FF7" w:rsidP="00903FF7">
            <w:pPr>
              <w:pStyle w:val="NoSpacing"/>
              <w:jc w:val="center"/>
              <w:rPr>
                <w:sz w:val="22"/>
                <w:lang w:val="en-GB"/>
              </w:rPr>
            </w:pPr>
            <w:r w:rsidRPr="003E3DFC">
              <w:rPr>
                <w:sz w:val="22"/>
                <w:lang w:val="en-GB"/>
              </w:rPr>
              <w:t>60.9</w:t>
            </w:r>
          </w:p>
        </w:tc>
        <w:tc>
          <w:tcPr>
            <w:tcW w:w="465" w:type="pct"/>
            <w:shd w:val="clear" w:color="auto" w:fill="auto"/>
            <w:tcMar>
              <w:top w:w="15" w:type="dxa"/>
              <w:left w:w="24" w:type="dxa"/>
              <w:bottom w:w="0" w:type="dxa"/>
              <w:right w:w="24" w:type="dxa"/>
            </w:tcMar>
            <w:vAlign w:val="center"/>
            <w:hideMark/>
          </w:tcPr>
          <w:p w14:paraId="5C23D664" w14:textId="77777777" w:rsidR="00903FF7" w:rsidRPr="003E3DFC" w:rsidRDefault="00903FF7" w:rsidP="00903FF7">
            <w:pPr>
              <w:pStyle w:val="NoSpacing"/>
              <w:jc w:val="center"/>
              <w:rPr>
                <w:sz w:val="22"/>
                <w:lang w:val="en-GB"/>
              </w:rPr>
            </w:pPr>
            <w:r w:rsidRPr="003E3DFC">
              <w:rPr>
                <w:sz w:val="22"/>
                <w:lang w:val="en-GB"/>
              </w:rPr>
              <w:t>35.9</w:t>
            </w:r>
          </w:p>
        </w:tc>
        <w:tc>
          <w:tcPr>
            <w:tcW w:w="465" w:type="pct"/>
            <w:shd w:val="clear" w:color="auto" w:fill="auto"/>
            <w:tcMar>
              <w:top w:w="15" w:type="dxa"/>
              <w:left w:w="24" w:type="dxa"/>
              <w:bottom w:w="0" w:type="dxa"/>
              <w:right w:w="24" w:type="dxa"/>
            </w:tcMar>
            <w:vAlign w:val="center"/>
            <w:hideMark/>
          </w:tcPr>
          <w:p w14:paraId="65E4A71F" w14:textId="77777777" w:rsidR="00903FF7" w:rsidRPr="003E3DFC" w:rsidRDefault="00903FF7" w:rsidP="00903FF7">
            <w:pPr>
              <w:pStyle w:val="NoSpacing"/>
              <w:jc w:val="center"/>
              <w:rPr>
                <w:sz w:val="22"/>
                <w:lang w:val="en-GB"/>
              </w:rPr>
            </w:pPr>
            <w:r w:rsidRPr="003E3DFC">
              <w:rPr>
                <w:sz w:val="22"/>
                <w:lang w:val="en-GB"/>
              </w:rPr>
              <w:t>25.1</w:t>
            </w:r>
          </w:p>
        </w:tc>
        <w:tc>
          <w:tcPr>
            <w:tcW w:w="465" w:type="pct"/>
            <w:shd w:val="clear" w:color="auto" w:fill="auto"/>
            <w:tcMar>
              <w:top w:w="15" w:type="dxa"/>
              <w:left w:w="24" w:type="dxa"/>
              <w:bottom w:w="0" w:type="dxa"/>
              <w:right w:w="24" w:type="dxa"/>
            </w:tcMar>
            <w:vAlign w:val="center"/>
            <w:hideMark/>
          </w:tcPr>
          <w:p w14:paraId="0FEC4694" w14:textId="77777777" w:rsidR="00903FF7" w:rsidRPr="003E3DFC" w:rsidRDefault="00903FF7" w:rsidP="00903FF7">
            <w:pPr>
              <w:pStyle w:val="NoSpacing"/>
              <w:jc w:val="center"/>
              <w:rPr>
                <w:sz w:val="22"/>
                <w:lang w:val="en-GB"/>
              </w:rPr>
            </w:pPr>
            <w:r w:rsidRPr="003E3DFC">
              <w:rPr>
                <w:sz w:val="22"/>
                <w:lang w:val="en-GB"/>
              </w:rPr>
              <w:t>51.0</w:t>
            </w:r>
          </w:p>
        </w:tc>
        <w:tc>
          <w:tcPr>
            <w:tcW w:w="465" w:type="pct"/>
            <w:shd w:val="clear" w:color="auto" w:fill="auto"/>
            <w:tcMar>
              <w:top w:w="15" w:type="dxa"/>
              <w:left w:w="24" w:type="dxa"/>
              <w:bottom w:w="0" w:type="dxa"/>
              <w:right w:w="24" w:type="dxa"/>
            </w:tcMar>
            <w:vAlign w:val="center"/>
            <w:hideMark/>
          </w:tcPr>
          <w:p w14:paraId="765C47F8" w14:textId="77777777" w:rsidR="00903FF7" w:rsidRPr="003E3DFC" w:rsidRDefault="00903FF7" w:rsidP="00903FF7">
            <w:pPr>
              <w:pStyle w:val="NoSpacing"/>
              <w:jc w:val="center"/>
              <w:rPr>
                <w:sz w:val="22"/>
                <w:lang w:val="en-GB"/>
              </w:rPr>
            </w:pPr>
            <w:r w:rsidRPr="003E3DFC">
              <w:rPr>
                <w:sz w:val="22"/>
                <w:lang w:val="en-GB"/>
              </w:rPr>
              <w:t>27.9</w:t>
            </w:r>
          </w:p>
        </w:tc>
        <w:tc>
          <w:tcPr>
            <w:tcW w:w="466" w:type="pct"/>
            <w:shd w:val="clear" w:color="auto" w:fill="auto"/>
            <w:tcMar>
              <w:top w:w="15" w:type="dxa"/>
              <w:left w:w="24" w:type="dxa"/>
              <w:bottom w:w="0" w:type="dxa"/>
              <w:right w:w="24" w:type="dxa"/>
            </w:tcMar>
            <w:vAlign w:val="center"/>
            <w:hideMark/>
          </w:tcPr>
          <w:p w14:paraId="4D41FBBD" w14:textId="77777777" w:rsidR="00903FF7" w:rsidRPr="003E3DFC" w:rsidRDefault="00903FF7" w:rsidP="00903FF7">
            <w:pPr>
              <w:pStyle w:val="NoSpacing"/>
              <w:jc w:val="center"/>
              <w:rPr>
                <w:sz w:val="22"/>
                <w:lang w:val="en-GB"/>
              </w:rPr>
            </w:pPr>
            <w:r w:rsidRPr="003E3DFC">
              <w:rPr>
                <w:sz w:val="22"/>
                <w:lang w:val="en-GB"/>
              </w:rPr>
              <w:t>23.1</w:t>
            </w:r>
          </w:p>
        </w:tc>
        <w:tc>
          <w:tcPr>
            <w:tcW w:w="465" w:type="pct"/>
            <w:shd w:val="clear" w:color="auto" w:fill="auto"/>
            <w:tcMar>
              <w:top w:w="15" w:type="dxa"/>
              <w:left w:w="24" w:type="dxa"/>
              <w:bottom w:w="0" w:type="dxa"/>
              <w:right w:w="24" w:type="dxa"/>
            </w:tcMar>
            <w:vAlign w:val="center"/>
            <w:hideMark/>
          </w:tcPr>
          <w:p w14:paraId="77636B3B" w14:textId="77777777" w:rsidR="00903FF7" w:rsidRPr="003E3DFC" w:rsidRDefault="00903FF7" w:rsidP="00903FF7">
            <w:pPr>
              <w:pStyle w:val="NoSpacing"/>
              <w:jc w:val="center"/>
              <w:rPr>
                <w:sz w:val="22"/>
                <w:lang w:val="en-GB"/>
              </w:rPr>
            </w:pPr>
            <w:r w:rsidRPr="003E3DFC">
              <w:rPr>
                <w:sz w:val="22"/>
                <w:lang w:val="en-GB"/>
              </w:rPr>
              <w:t>-9.9</w:t>
            </w:r>
          </w:p>
        </w:tc>
        <w:tc>
          <w:tcPr>
            <w:tcW w:w="465" w:type="pct"/>
            <w:shd w:val="clear" w:color="auto" w:fill="auto"/>
            <w:tcMar>
              <w:top w:w="15" w:type="dxa"/>
              <w:left w:w="24" w:type="dxa"/>
              <w:bottom w:w="0" w:type="dxa"/>
              <w:right w:w="24" w:type="dxa"/>
            </w:tcMar>
            <w:vAlign w:val="center"/>
            <w:hideMark/>
          </w:tcPr>
          <w:p w14:paraId="3C15B404" w14:textId="77777777" w:rsidR="00903FF7" w:rsidRPr="003E3DFC" w:rsidRDefault="00903FF7" w:rsidP="00903FF7">
            <w:pPr>
              <w:pStyle w:val="NoSpacing"/>
              <w:jc w:val="center"/>
              <w:rPr>
                <w:sz w:val="22"/>
                <w:lang w:val="en-GB"/>
              </w:rPr>
            </w:pPr>
            <w:r w:rsidRPr="003E3DFC">
              <w:rPr>
                <w:sz w:val="22"/>
                <w:lang w:val="en-GB"/>
              </w:rPr>
              <w:t>-8.0</w:t>
            </w:r>
          </w:p>
        </w:tc>
        <w:tc>
          <w:tcPr>
            <w:tcW w:w="465" w:type="pct"/>
            <w:shd w:val="clear" w:color="auto" w:fill="auto"/>
            <w:tcMar>
              <w:top w:w="15" w:type="dxa"/>
              <w:left w:w="24" w:type="dxa"/>
              <w:bottom w:w="0" w:type="dxa"/>
              <w:right w:w="24" w:type="dxa"/>
            </w:tcMar>
            <w:vAlign w:val="center"/>
            <w:hideMark/>
          </w:tcPr>
          <w:p w14:paraId="27A7C16A" w14:textId="77777777" w:rsidR="00903FF7" w:rsidRPr="003E3DFC" w:rsidRDefault="00903FF7" w:rsidP="00903FF7">
            <w:pPr>
              <w:pStyle w:val="NoSpacing"/>
              <w:jc w:val="center"/>
              <w:rPr>
                <w:sz w:val="22"/>
                <w:lang w:val="en-GB"/>
              </w:rPr>
            </w:pPr>
            <w:r w:rsidRPr="003E3DFC">
              <w:rPr>
                <w:sz w:val="22"/>
                <w:lang w:val="en-GB"/>
              </w:rPr>
              <w:t>-2.0</w:t>
            </w:r>
          </w:p>
        </w:tc>
      </w:tr>
    </w:tbl>
    <w:p w14:paraId="32332DB0" w14:textId="77777777" w:rsidR="006C29E0" w:rsidRPr="003E3DFC" w:rsidRDefault="006C29E0" w:rsidP="006C29E0">
      <w:pPr>
        <w:pStyle w:val="NoSpacing"/>
        <w:rPr>
          <w:lang w:val="en-GB"/>
        </w:rPr>
      </w:pPr>
      <w:r w:rsidRPr="003E3DFC">
        <w:rPr>
          <w:lang w:val="en-GB"/>
        </w:rPr>
        <w:t xml:space="preserve">Source: Author’s own work based on LFS data from the State Statistical Office of </w:t>
      </w:r>
      <w:r w:rsidR="00C30864" w:rsidRPr="003E3DFC">
        <w:rPr>
          <w:lang w:val="en-GB"/>
        </w:rPr>
        <w:t>R. of Macedonia</w:t>
      </w:r>
      <w:r w:rsidRPr="003E3DFC">
        <w:rPr>
          <w:lang w:val="en-GB"/>
        </w:rPr>
        <w:t xml:space="preserve"> and Eurostat</w:t>
      </w:r>
    </w:p>
    <w:p w14:paraId="706C8CDB" w14:textId="77777777" w:rsidR="006303F6" w:rsidRPr="003E3DFC" w:rsidRDefault="006303F6" w:rsidP="006C29E0">
      <w:pPr>
        <w:pStyle w:val="NoSpacing"/>
        <w:rPr>
          <w:lang w:val="en-GB"/>
        </w:rPr>
      </w:pPr>
    </w:p>
    <w:p w14:paraId="0F64982F" w14:textId="4D3B114B" w:rsidR="00903FF7" w:rsidRPr="003E3DFC" w:rsidRDefault="00BD64F3" w:rsidP="006303F6">
      <w:pPr>
        <w:pStyle w:val="NoSpacing"/>
        <w:rPr>
          <w:lang w:val="en-GB"/>
        </w:rPr>
      </w:pPr>
      <w:r w:rsidRPr="003E3DFC">
        <w:rPr>
          <w:lang w:val="en-GB"/>
        </w:rPr>
        <w:t>F</w:t>
      </w:r>
      <w:r w:rsidR="00C97E16" w:rsidRPr="003E3DFC">
        <w:rPr>
          <w:lang w:val="en-GB"/>
        </w:rPr>
        <w:t xml:space="preserve">emale unemployment in </w:t>
      </w:r>
      <w:r w:rsidR="00C30864" w:rsidRPr="003E3DFC">
        <w:rPr>
          <w:lang w:val="en-GB"/>
        </w:rPr>
        <w:t>R. of Macedonia</w:t>
      </w:r>
      <w:r w:rsidRPr="003E3DFC">
        <w:rPr>
          <w:lang w:val="en-GB"/>
        </w:rPr>
        <w:t xml:space="preserve">, observed from an education attainment perspective (figure </w:t>
      </w:r>
      <w:r w:rsidR="009A7E4F" w:rsidRPr="003E3DFC">
        <w:rPr>
          <w:lang w:val="en-GB"/>
        </w:rPr>
        <w:t>8</w:t>
      </w:r>
      <w:r w:rsidRPr="003E3DFC">
        <w:rPr>
          <w:lang w:val="en-GB"/>
        </w:rPr>
        <w:t xml:space="preserve">), </w:t>
      </w:r>
      <w:r w:rsidR="00C97E16" w:rsidRPr="003E3DFC">
        <w:rPr>
          <w:lang w:val="en-GB"/>
        </w:rPr>
        <w:t xml:space="preserve">shows a decreasing trend over the years for less educated women (level 0-2), dropping </w:t>
      </w:r>
      <w:r w:rsidR="00C67003" w:rsidRPr="003E3DFC">
        <w:rPr>
          <w:lang w:val="en-GB"/>
        </w:rPr>
        <w:t>altogether</w:t>
      </w:r>
      <w:r w:rsidR="00C97E16" w:rsidRPr="003E3DFC">
        <w:rPr>
          <w:lang w:val="en-GB"/>
        </w:rPr>
        <w:t xml:space="preserve"> 27.4% from 2006 to 2013. A similar pattern was evident also for level 3</w:t>
      </w:r>
      <w:r w:rsidR="00A80198" w:rsidRPr="003E3DFC">
        <w:rPr>
          <w:lang w:val="en-GB"/>
        </w:rPr>
        <w:t>-</w:t>
      </w:r>
      <w:r w:rsidR="00C97E16" w:rsidRPr="003E3DFC">
        <w:rPr>
          <w:lang w:val="en-GB"/>
        </w:rPr>
        <w:t>4, which dr</w:t>
      </w:r>
      <w:r w:rsidR="00D27D05" w:rsidRPr="003E3DFC">
        <w:rPr>
          <w:lang w:val="en-GB"/>
        </w:rPr>
        <w:t xml:space="preserve">opped 24.5% in the same period; </w:t>
      </w:r>
      <w:r w:rsidR="00C97E16" w:rsidRPr="003E3DFC">
        <w:rPr>
          <w:lang w:val="en-GB"/>
        </w:rPr>
        <w:t>decreasing from 38.4% in 2006 to 29% in 2</w:t>
      </w:r>
      <w:r w:rsidR="00A80198" w:rsidRPr="003E3DFC">
        <w:rPr>
          <w:lang w:val="en-GB"/>
        </w:rPr>
        <w:t>0</w:t>
      </w:r>
      <w:r w:rsidR="00C97E16" w:rsidRPr="003E3DFC">
        <w:rPr>
          <w:lang w:val="en-GB"/>
        </w:rPr>
        <w:t xml:space="preserve">13. </w:t>
      </w:r>
      <w:r w:rsidR="006C29E0" w:rsidRPr="003E3DFC">
        <w:rPr>
          <w:lang w:val="en-GB"/>
        </w:rPr>
        <w:t>Whereas</w:t>
      </w:r>
      <w:r w:rsidR="00C97E16" w:rsidRPr="003E3DFC">
        <w:rPr>
          <w:lang w:val="en-GB"/>
        </w:rPr>
        <w:t>,</w:t>
      </w:r>
      <w:r w:rsidR="006C29E0" w:rsidRPr="003E3DFC">
        <w:rPr>
          <w:lang w:val="en-GB"/>
        </w:rPr>
        <w:t xml:space="preserve"> </w:t>
      </w:r>
      <w:r w:rsidR="00C97E16" w:rsidRPr="003E3DFC">
        <w:rPr>
          <w:lang w:val="en-GB"/>
        </w:rPr>
        <w:t xml:space="preserve">in the case of </w:t>
      </w:r>
      <w:r w:rsidR="006C29E0" w:rsidRPr="003E3DFC">
        <w:rPr>
          <w:lang w:val="en-GB"/>
        </w:rPr>
        <w:t xml:space="preserve">females with </w:t>
      </w:r>
      <w:r w:rsidR="00C97E16" w:rsidRPr="003E3DFC">
        <w:rPr>
          <w:lang w:val="en-GB"/>
        </w:rPr>
        <w:t xml:space="preserve">tertiary education (levels 5-8), </w:t>
      </w:r>
      <w:r w:rsidR="006C29E0" w:rsidRPr="003E3DFC">
        <w:rPr>
          <w:lang w:val="en-GB"/>
        </w:rPr>
        <w:t xml:space="preserve">an opposite trend </w:t>
      </w:r>
      <w:r w:rsidR="00D27D05" w:rsidRPr="003E3DFC">
        <w:rPr>
          <w:lang w:val="en-GB"/>
        </w:rPr>
        <w:t>is</w:t>
      </w:r>
      <w:r w:rsidR="00C97E16" w:rsidRPr="003E3DFC">
        <w:rPr>
          <w:lang w:val="en-GB"/>
        </w:rPr>
        <w:t xml:space="preserve"> </w:t>
      </w:r>
      <w:r w:rsidR="00D27D05" w:rsidRPr="003E3DFC">
        <w:rPr>
          <w:lang w:val="en-GB"/>
        </w:rPr>
        <w:t>observed</w:t>
      </w:r>
      <w:r w:rsidR="00C97E16" w:rsidRPr="003E3DFC">
        <w:rPr>
          <w:lang w:val="en-GB"/>
        </w:rPr>
        <w:t xml:space="preserve"> throughou</w:t>
      </w:r>
      <w:r w:rsidR="00D27D05" w:rsidRPr="003E3DFC">
        <w:rPr>
          <w:lang w:val="en-GB"/>
        </w:rPr>
        <w:t xml:space="preserve">t the study period </w:t>
      </w:r>
      <w:r w:rsidR="006C29E0" w:rsidRPr="003E3DFC">
        <w:rPr>
          <w:lang w:val="en-GB"/>
        </w:rPr>
        <w:t>with</w:t>
      </w:r>
      <w:r w:rsidR="009F743A" w:rsidRPr="003E3DFC">
        <w:rPr>
          <w:lang w:val="en-GB"/>
        </w:rPr>
        <w:t xml:space="preserve"> an overall increase of </w:t>
      </w:r>
      <w:r w:rsidR="006C29E0" w:rsidRPr="003E3DFC">
        <w:rPr>
          <w:lang w:val="en-GB"/>
        </w:rPr>
        <w:t xml:space="preserve">16.5% (from 23% </w:t>
      </w:r>
      <w:r w:rsidR="00C97E16" w:rsidRPr="003E3DFC">
        <w:rPr>
          <w:lang w:val="en-GB"/>
        </w:rPr>
        <w:t xml:space="preserve">in 2006 </w:t>
      </w:r>
      <w:r w:rsidR="006C29E0" w:rsidRPr="003E3DFC">
        <w:rPr>
          <w:lang w:val="en-GB"/>
        </w:rPr>
        <w:t>to 26.8%</w:t>
      </w:r>
      <w:r w:rsidR="00C97E16" w:rsidRPr="003E3DFC">
        <w:rPr>
          <w:lang w:val="en-GB"/>
        </w:rPr>
        <w:t xml:space="preserve"> in 2013</w:t>
      </w:r>
      <w:r w:rsidR="006C29E0" w:rsidRPr="003E3DFC">
        <w:rPr>
          <w:lang w:val="en-GB"/>
        </w:rPr>
        <w:t>).</w:t>
      </w:r>
      <w:r w:rsidR="009F743A" w:rsidRPr="003E3DFC">
        <w:rPr>
          <w:lang w:val="en-GB"/>
        </w:rPr>
        <w:t xml:space="preserve"> </w:t>
      </w:r>
    </w:p>
    <w:p w14:paraId="212F08D6" w14:textId="77777777" w:rsidR="006303F6" w:rsidRPr="003E3DFC" w:rsidRDefault="006303F6" w:rsidP="006303F6">
      <w:pPr>
        <w:pStyle w:val="NoSpacing"/>
        <w:rPr>
          <w:lang w:val="en-GB"/>
        </w:rPr>
      </w:pPr>
    </w:p>
    <w:p w14:paraId="2472B157" w14:textId="01935FA9" w:rsidR="006409E9" w:rsidRPr="003E3DFC" w:rsidRDefault="006409E9" w:rsidP="006409E9">
      <w:pPr>
        <w:pStyle w:val="Caption"/>
        <w:keepNext/>
        <w:rPr>
          <w:i w:val="0"/>
          <w:color w:val="auto"/>
          <w:sz w:val="24"/>
        </w:rPr>
      </w:pPr>
      <w:r w:rsidRPr="003E3DFC">
        <w:rPr>
          <w:i w:val="0"/>
          <w:color w:val="auto"/>
          <w:sz w:val="24"/>
        </w:rPr>
        <w:t xml:space="preserve">Figure </w:t>
      </w:r>
      <w:r w:rsidRPr="003E3DFC">
        <w:rPr>
          <w:i w:val="0"/>
          <w:color w:val="auto"/>
          <w:sz w:val="24"/>
        </w:rPr>
        <w:fldChar w:fldCharType="begin"/>
      </w:r>
      <w:r w:rsidRPr="003E3DFC">
        <w:rPr>
          <w:i w:val="0"/>
          <w:color w:val="auto"/>
          <w:sz w:val="24"/>
        </w:rPr>
        <w:instrText xml:space="preserve"> SEQ Figure \* ARABIC </w:instrText>
      </w:r>
      <w:r w:rsidRPr="003E3DFC">
        <w:rPr>
          <w:i w:val="0"/>
          <w:color w:val="auto"/>
          <w:sz w:val="24"/>
        </w:rPr>
        <w:fldChar w:fldCharType="separate"/>
      </w:r>
      <w:r w:rsidR="009A7E4F" w:rsidRPr="003E3DFC">
        <w:rPr>
          <w:i w:val="0"/>
          <w:noProof/>
          <w:color w:val="auto"/>
          <w:sz w:val="24"/>
        </w:rPr>
        <w:t>8</w:t>
      </w:r>
      <w:r w:rsidRPr="003E3DFC">
        <w:rPr>
          <w:i w:val="0"/>
          <w:color w:val="auto"/>
          <w:sz w:val="24"/>
        </w:rPr>
        <w:fldChar w:fldCharType="end"/>
      </w:r>
      <w:r w:rsidR="003F1A12" w:rsidRPr="003E3DFC">
        <w:rPr>
          <w:i w:val="0"/>
          <w:color w:val="auto"/>
          <w:sz w:val="24"/>
        </w:rPr>
        <w:t>: Female unemployment rate in R.M by highest level of education a</w:t>
      </w:r>
      <w:r w:rsidRPr="003E3DFC">
        <w:rPr>
          <w:i w:val="0"/>
          <w:color w:val="auto"/>
          <w:sz w:val="24"/>
        </w:rPr>
        <w:t>ttained (%)</w:t>
      </w:r>
    </w:p>
    <w:p w14:paraId="5F0A27E7" w14:textId="456F1079" w:rsidR="00903FF7" w:rsidRPr="003E3DFC" w:rsidRDefault="006C06C9" w:rsidP="006409E9">
      <w:pPr>
        <w:pStyle w:val="NoSpacing"/>
        <w:rPr>
          <w:lang w:val="en-GB"/>
        </w:rPr>
      </w:pPr>
      <w:r w:rsidRPr="003E3DFC">
        <w:rPr>
          <w:noProof/>
          <w:lang w:val="bs-Latn-BA" w:eastAsia="bs-Latn-BA"/>
        </w:rPr>
        <w:drawing>
          <wp:inline distT="0" distB="0" distL="0" distR="0" wp14:anchorId="65DD334C" wp14:editId="5D1CFB06">
            <wp:extent cx="5334000" cy="2708910"/>
            <wp:effectExtent l="0" t="0" r="0" b="0"/>
            <wp:docPr id="10"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A9A5D5" w14:textId="09D48981" w:rsidR="006409E9" w:rsidRPr="003E3DFC" w:rsidRDefault="006409E9" w:rsidP="006409E9">
      <w:pPr>
        <w:pStyle w:val="NoSpacing"/>
        <w:rPr>
          <w:lang w:val="en-GB"/>
        </w:rPr>
      </w:pPr>
      <w:r w:rsidRPr="003E3DFC">
        <w:rPr>
          <w:lang w:val="en-GB"/>
        </w:rPr>
        <w:t xml:space="preserve">Source: </w:t>
      </w:r>
      <w:r w:rsidR="003F1A12" w:rsidRPr="003E3DFC">
        <w:rPr>
          <w:lang w:val="en-GB"/>
        </w:rPr>
        <w:t>Author’s own work based on LFS data from</w:t>
      </w:r>
      <w:r w:rsidRPr="003E3DFC">
        <w:rPr>
          <w:lang w:val="en-GB"/>
        </w:rPr>
        <w:t xml:space="preserve"> State Statistical Office of the </w:t>
      </w:r>
      <w:r w:rsidR="00C30864" w:rsidRPr="003E3DFC">
        <w:rPr>
          <w:lang w:val="en-GB"/>
        </w:rPr>
        <w:t>R. of Macedonia</w:t>
      </w:r>
    </w:p>
    <w:p w14:paraId="3E4B98D9" w14:textId="77777777" w:rsidR="00903FF7" w:rsidRPr="003E3DFC" w:rsidRDefault="00903FF7" w:rsidP="006303F6">
      <w:pPr>
        <w:pStyle w:val="NoSpacing"/>
        <w:rPr>
          <w:lang w:val="en-GB"/>
        </w:rPr>
      </w:pPr>
    </w:p>
    <w:p w14:paraId="753386B5" w14:textId="44BFA032" w:rsidR="006C29E0" w:rsidRPr="003E3DFC" w:rsidRDefault="009F743A" w:rsidP="006303F6">
      <w:pPr>
        <w:pStyle w:val="NoSpacing"/>
        <w:rPr>
          <w:lang w:val="en-GB"/>
        </w:rPr>
      </w:pPr>
      <w:r w:rsidRPr="003E3DFC">
        <w:rPr>
          <w:lang w:val="en-GB"/>
        </w:rPr>
        <w:t xml:space="preserve">Compared to benchmark countries (table </w:t>
      </w:r>
      <w:r w:rsidR="00B80334" w:rsidRPr="003E3DFC">
        <w:rPr>
          <w:lang w:val="en-GB"/>
        </w:rPr>
        <w:t>8</w:t>
      </w:r>
      <w:r w:rsidRPr="003E3DFC">
        <w:rPr>
          <w:lang w:val="en-GB"/>
        </w:rPr>
        <w:t xml:space="preserve">), a somewhat different pattern is </w:t>
      </w:r>
      <w:r w:rsidR="00B80334" w:rsidRPr="003E3DFC">
        <w:rPr>
          <w:lang w:val="en-GB"/>
        </w:rPr>
        <w:t>observed</w:t>
      </w:r>
      <w:r w:rsidRPr="003E3DFC">
        <w:rPr>
          <w:lang w:val="en-GB"/>
        </w:rPr>
        <w:t xml:space="preserve"> when looking at female unemploym</w:t>
      </w:r>
      <w:r w:rsidR="00470E17" w:rsidRPr="003E3DFC">
        <w:rPr>
          <w:lang w:val="en-GB"/>
        </w:rPr>
        <w:t xml:space="preserve">ent by educational attainment. All countries, </w:t>
      </w:r>
      <w:r w:rsidR="006303F6" w:rsidRPr="003E3DFC">
        <w:rPr>
          <w:lang w:val="en-GB"/>
        </w:rPr>
        <w:t>except</w:t>
      </w:r>
      <w:r w:rsidR="0028123B" w:rsidRPr="003E3DFC">
        <w:rPr>
          <w:lang w:val="en-GB"/>
        </w:rPr>
        <w:t xml:space="preserve"> </w:t>
      </w:r>
      <w:r w:rsidR="005C46E9" w:rsidRPr="003E3DFC">
        <w:rPr>
          <w:lang w:val="en-GB"/>
        </w:rPr>
        <w:t>for</w:t>
      </w:r>
      <w:r w:rsidR="0028123B" w:rsidRPr="003E3DFC">
        <w:rPr>
          <w:lang w:val="en-GB"/>
        </w:rPr>
        <w:t xml:space="preserve"> </w:t>
      </w:r>
      <w:r w:rsidR="00C30864" w:rsidRPr="003E3DFC">
        <w:rPr>
          <w:lang w:val="en-GB"/>
        </w:rPr>
        <w:t>R. of Macedonia</w:t>
      </w:r>
      <w:r w:rsidR="0028123B" w:rsidRPr="003E3DFC">
        <w:rPr>
          <w:lang w:val="en-GB"/>
        </w:rPr>
        <w:t xml:space="preserve"> have </w:t>
      </w:r>
      <w:r w:rsidR="00D27D05" w:rsidRPr="003E3DFC">
        <w:rPr>
          <w:lang w:val="en-GB"/>
        </w:rPr>
        <w:t>registered</w:t>
      </w:r>
      <w:r w:rsidR="0028123B" w:rsidRPr="003E3DFC">
        <w:rPr>
          <w:lang w:val="en-GB"/>
        </w:rPr>
        <w:t xml:space="preserve"> an increase in unemployment rates among women with lower levels of education</w:t>
      </w:r>
      <w:r w:rsidR="00D27D05" w:rsidRPr="003E3DFC">
        <w:rPr>
          <w:lang w:val="en-GB"/>
        </w:rPr>
        <w:t xml:space="preserve">. </w:t>
      </w:r>
      <w:r w:rsidR="0028123B" w:rsidRPr="003E3DFC">
        <w:rPr>
          <w:lang w:val="en-GB"/>
        </w:rPr>
        <w:t xml:space="preserve">Greece and Slovenia </w:t>
      </w:r>
      <w:r w:rsidR="00D27D05" w:rsidRPr="003E3DFC">
        <w:rPr>
          <w:lang w:val="en-GB"/>
        </w:rPr>
        <w:t xml:space="preserve">have </w:t>
      </w:r>
      <w:r w:rsidR="0028123B" w:rsidRPr="003E3DFC">
        <w:rPr>
          <w:lang w:val="en-GB"/>
        </w:rPr>
        <w:t>register</w:t>
      </w:r>
      <w:r w:rsidR="00D27D05" w:rsidRPr="003E3DFC">
        <w:rPr>
          <w:lang w:val="en-GB"/>
        </w:rPr>
        <w:t xml:space="preserve">ed </w:t>
      </w:r>
      <w:r w:rsidR="0028123B" w:rsidRPr="003E3DFC">
        <w:rPr>
          <w:lang w:val="en-GB"/>
        </w:rPr>
        <w:t>the highest i</w:t>
      </w:r>
      <w:r w:rsidR="00470E17" w:rsidRPr="003E3DFC">
        <w:rPr>
          <w:lang w:val="en-GB"/>
        </w:rPr>
        <w:t xml:space="preserve">ncrease </w:t>
      </w:r>
      <w:r w:rsidR="00D27D05" w:rsidRPr="003E3DFC">
        <w:rPr>
          <w:lang w:val="en-GB"/>
        </w:rPr>
        <w:t xml:space="preserve">in the case of education attainment level 0-2 calculated at </w:t>
      </w:r>
      <w:r w:rsidR="00470E17" w:rsidRPr="003E3DFC">
        <w:rPr>
          <w:lang w:val="en-GB"/>
        </w:rPr>
        <w:t>18 p.p. and 12.3 p.p.</w:t>
      </w:r>
      <w:r w:rsidR="0028123B" w:rsidRPr="003E3DFC">
        <w:rPr>
          <w:lang w:val="en-GB"/>
        </w:rPr>
        <w:t xml:space="preserve"> respectively from 2006 to 2013. Gre</w:t>
      </w:r>
      <w:r w:rsidR="00D27D05" w:rsidRPr="003E3DFC">
        <w:rPr>
          <w:lang w:val="en-GB"/>
        </w:rPr>
        <w:t>ece also stands out when observing</w:t>
      </w:r>
      <w:r w:rsidR="0028123B" w:rsidRPr="003E3DFC">
        <w:rPr>
          <w:lang w:val="en-GB"/>
        </w:rPr>
        <w:t xml:space="preserve"> levels 3</w:t>
      </w:r>
      <w:r w:rsidR="00A80198" w:rsidRPr="003E3DFC">
        <w:rPr>
          <w:lang w:val="en-GB"/>
        </w:rPr>
        <w:t>-</w:t>
      </w:r>
      <w:r w:rsidR="0028123B" w:rsidRPr="003E3DFC">
        <w:rPr>
          <w:lang w:val="en-GB"/>
        </w:rPr>
        <w:t>4 and levels 5-8, registering respectively an increase of 20.9 p.p. and 14.2 p.p. from 2006 to 2013</w:t>
      </w:r>
      <w:r w:rsidR="00D27D05" w:rsidRPr="003E3DFC">
        <w:rPr>
          <w:lang w:val="en-GB"/>
        </w:rPr>
        <w:t xml:space="preserve">. While, all </w:t>
      </w:r>
      <w:r w:rsidR="0028123B" w:rsidRPr="003E3DFC">
        <w:rPr>
          <w:lang w:val="en-GB"/>
        </w:rPr>
        <w:t xml:space="preserve">other benchmark countries </w:t>
      </w:r>
      <w:r w:rsidR="00D27D05" w:rsidRPr="003E3DFC">
        <w:rPr>
          <w:lang w:val="en-GB"/>
        </w:rPr>
        <w:t>have registered</w:t>
      </w:r>
      <w:r w:rsidR="0028123B" w:rsidRPr="003E3DFC">
        <w:rPr>
          <w:lang w:val="en-GB"/>
        </w:rPr>
        <w:t xml:space="preserve"> more moderate increases across all levels</w:t>
      </w:r>
      <w:r w:rsidR="00711010" w:rsidRPr="003E3DFC">
        <w:rPr>
          <w:lang w:val="en-GB"/>
        </w:rPr>
        <w:t xml:space="preserve"> in comparison</w:t>
      </w:r>
      <w:r w:rsidR="0028123B" w:rsidRPr="003E3DFC">
        <w:rPr>
          <w:lang w:val="en-GB"/>
        </w:rPr>
        <w:t>.</w:t>
      </w:r>
    </w:p>
    <w:p w14:paraId="54C3D1B4" w14:textId="77777777" w:rsidR="00903FF7" w:rsidRPr="003E3DFC" w:rsidRDefault="00903FF7" w:rsidP="006303F6">
      <w:pPr>
        <w:pStyle w:val="NoSpacing"/>
        <w:rPr>
          <w:lang w:val="en-GB"/>
        </w:rPr>
      </w:pPr>
    </w:p>
    <w:p w14:paraId="7750BB48" w14:textId="6450B90C" w:rsidR="006C29E0" w:rsidRPr="003E3DFC" w:rsidRDefault="006C29E0" w:rsidP="006C29E0">
      <w:pPr>
        <w:pStyle w:val="Caption"/>
        <w:rPr>
          <w:i w:val="0"/>
          <w:color w:val="auto"/>
          <w:sz w:val="24"/>
        </w:rPr>
      </w:pPr>
      <w:r w:rsidRPr="003E3DFC">
        <w:rPr>
          <w:i w:val="0"/>
          <w:color w:val="auto"/>
          <w:sz w:val="24"/>
        </w:rPr>
        <w:lastRenderedPageBreak/>
        <w:t xml:space="preserve">Table </w:t>
      </w:r>
      <w:r w:rsidRPr="003E3DFC">
        <w:rPr>
          <w:i w:val="0"/>
          <w:color w:val="auto"/>
          <w:sz w:val="24"/>
        </w:rPr>
        <w:fldChar w:fldCharType="begin"/>
      </w:r>
      <w:r w:rsidRPr="003E3DFC">
        <w:rPr>
          <w:i w:val="0"/>
          <w:color w:val="auto"/>
          <w:sz w:val="24"/>
        </w:rPr>
        <w:instrText xml:space="preserve"> SEQ Table \* ARABIC </w:instrText>
      </w:r>
      <w:r w:rsidRPr="003E3DFC">
        <w:rPr>
          <w:i w:val="0"/>
          <w:color w:val="auto"/>
          <w:sz w:val="24"/>
        </w:rPr>
        <w:fldChar w:fldCharType="separate"/>
      </w:r>
      <w:r w:rsidR="00F625BB" w:rsidRPr="003E3DFC">
        <w:rPr>
          <w:i w:val="0"/>
          <w:noProof/>
          <w:color w:val="auto"/>
          <w:sz w:val="24"/>
        </w:rPr>
        <w:t>8</w:t>
      </w:r>
      <w:r w:rsidRPr="003E3DFC">
        <w:rPr>
          <w:i w:val="0"/>
          <w:color w:val="auto"/>
          <w:sz w:val="24"/>
        </w:rPr>
        <w:fldChar w:fldCharType="end"/>
      </w:r>
      <w:r w:rsidR="003F1A12" w:rsidRPr="003E3DFC">
        <w:rPr>
          <w:i w:val="0"/>
          <w:color w:val="auto"/>
          <w:sz w:val="24"/>
        </w:rPr>
        <w:t>: Female unemployment r</w:t>
      </w:r>
      <w:r w:rsidR="00A80198" w:rsidRPr="003E3DFC">
        <w:rPr>
          <w:i w:val="0"/>
          <w:color w:val="auto"/>
          <w:sz w:val="24"/>
        </w:rPr>
        <w:t xml:space="preserve">ate </w:t>
      </w:r>
      <w:r w:rsidR="003F1A12" w:rsidRPr="003E3DFC">
        <w:rPr>
          <w:i w:val="0"/>
          <w:color w:val="auto"/>
          <w:sz w:val="24"/>
        </w:rPr>
        <w:t>by e</w:t>
      </w:r>
      <w:r w:rsidRPr="003E3DFC">
        <w:rPr>
          <w:i w:val="0"/>
          <w:color w:val="auto"/>
          <w:sz w:val="24"/>
        </w:rPr>
        <w:t>ducation (highest level attained) in select</w:t>
      </w:r>
      <w:r w:rsidR="00A80198" w:rsidRPr="003E3DFC">
        <w:rPr>
          <w:i w:val="0"/>
          <w:color w:val="auto"/>
          <w:sz w:val="24"/>
        </w:rPr>
        <w:t>ed</w:t>
      </w:r>
      <w:r w:rsidR="003F1A12" w:rsidRPr="003E3DFC">
        <w:rPr>
          <w:i w:val="0"/>
          <w:color w:val="auto"/>
          <w:sz w:val="24"/>
        </w:rPr>
        <w:t xml:space="preserve"> Balkan c</w:t>
      </w:r>
      <w:r w:rsidRPr="003E3DFC">
        <w:rPr>
          <w:i w:val="0"/>
          <w:color w:val="auto"/>
          <w:sz w:val="24"/>
        </w:rPr>
        <w:t>ountries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55"/>
        <w:gridCol w:w="898"/>
        <w:gridCol w:w="898"/>
        <w:gridCol w:w="898"/>
        <w:gridCol w:w="898"/>
        <w:gridCol w:w="898"/>
        <w:gridCol w:w="898"/>
        <w:gridCol w:w="900"/>
        <w:gridCol w:w="900"/>
        <w:gridCol w:w="897"/>
      </w:tblGrid>
      <w:tr w:rsidR="006C29E0" w:rsidRPr="003E3DFC" w14:paraId="197F8418" w14:textId="77777777" w:rsidTr="0066613D">
        <w:trPr>
          <w:trHeight w:val="366"/>
        </w:trPr>
        <w:tc>
          <w:tcPr>
            <w:tcW w:w="571" w:type="pct"/>
            <w:vMerge w:val="restart"/>
            <w:shd w:val="clear" w:color="auto" w:fill="auto"/>
            <w:tcMar>
              <w:top w:w="15" w:type="dxa"/>
              <w:left w:w="108" w:type="dxa"/>
              <w:bottom w:w="0" w:type="dxa"/>
              <w:right w:w="108" w:type="dxa"/>
            </w:tcMar>
            <w:vAlign w:val="center"/>
            <w:hideMark/>
          </w:tcPr>
          <w:p w14:paraId="6F2DB1A3" w14:textId="77777777" w:rsidR="006C29E0" w:rsidRPr="003E3DFC" w:rsidRDefault="006C29E0" w:rsidP="006C29E0">
            <w:pPr>
              <w:pStyle w:val="NoSpacing"/>
              <w:jc w:val="center"/>
              <w:rPr>
                <w:b/>
                <w:sz w:val="22"/>
                <w:lang w:val="en-GB"/>
              </w:rPr>
            </w:pPr>
          </w:p>
        </w:tc>
        <w:tc>
          <w:tcPr>
            <w:tcW w:w="1476" w:type="pct"/>
            <w:gridSpan w:val="3"/>
            <w:shd w:val="clear" w:color="auto" w:fill="auto"/>
            <w:tcMar>
              <w:top w:w="15" w:type="dxa"/>
              <w:left w:w="108" w:type="dxa"/>
              <w:bottom w:w="0" w:type="dxa"/>
              <w:right w:w="108" w:type="dxa"/>
            </w:tcMar>
            <w:vAlign w:val="center"/>
            <w:hideMark/>
          </w:tcPr>
          <w:p w14:paraId="4704BD6A" w14:textId="77777777" w:rsidR="006C29E0" w:rsidRPr="003E3DFC" w:rsidRDefault="006C29E0" w:rsidP="006C29E0">
            <w:pPr>
              <w:pStyle w:val="NoSpacing"/>
              <w:jc w:val="center"/>
              <w:rPr>
                <w:b/>
                <w:sz w:val="22"/>
                <w:lang w:val="en-GB"/>
              </w:rPr>
            </w:pPr>
            <w:r w:rsidRPr="003E3DFC">
              <w:rPr>
                <w:b/>
                <w:sz w:val="22"/>
                <w:lang w:val="en-GB"/>
              </w:rPr>
              <w:t>2006</w:t>
            </w:r>
          </w:p>
        </w:tc>
        <w:tc>
          <w:tcPr>
            <w:tcW w:w="1476" w:type="pct"/>
            <w:gridSpan w:val="3"/>
            <w:shd w:val="clear" w:color="auto" w:fill="auto"/>
            <w:tcMar>
              <w:top w:w="15" w:type="dxa"/>
              <w:left w:w="108" w:type="dxa"/>
              <w:bottom w:w="0" w:type="dxa"/>
              <w:right w:w="108" w:type="dxa"/>
            </w:tcMar>
            <w:vAlign w:val="center"/>
            <w:hideMark/>
          </w:tcPr>
          <w:p w14:paraId="1BE36773" w14:textId="77777777" w:rsidR="006C29E0" w:rsidRPr="003E3DFC" w:rsidRDefault="006C29E0" w:rsidP="006C29E0">
            <w:pPr>
              <w:pStyle w:val="NoSpacing"/>
              <w:jc w:val="center"/>
              <w:rPr>
                <w:b/>
                <w:sz w:val="22"/>
                <w:lang w:val="en-GB"/>
              </w:rPr>
            </w:pPr>
            <w:r w:rsidRPr="003E3DFC">
              <w:rPr>
                <w:b/>
                <w:sz w:val="22"/>
                <w:lang w:val="en-GB"/>
              </w:rPr>
              <w:t>2013</w:t>
            </w:r>
          </w:p>
        </w:tc>
        <w:tc>
          <w:tcPr>
            <w:tcW w:w="1478" w:type="pct"/>
            <w:gridSpan w:val="3"/>
            <w:shd w:val="clear" w:color="auto" w:fill="auto"/>
            <w:tcMar>
              <w:top w:w="15" w:type="dxa"/>
              <w:left w:w="108" w:type="dxa"/>
              <w:bottom w:w="0" w:type="dxa"/>
              <w:right w:w="108" w:type="dxa"/>
            </w:tcMar>
            <w:vAlign w:val="center"/>
            <w:hideMark/>
          </w:tcPr>
          <w:p w14:paraId="7E045561" w14:textId="77777777" w:rsidR="006C29E0" w:rsidRPr="003E3DFC" w:rsidRDefault="006C29E0" w:rsidP="006C29E0">
            <w:pPr>
              <w:pStyle w:val="NoSpacing"/>
              <w:jc w:val="center"/>
              <w:rPr>
                <w:b/>
                <w:sz w:val="22"/>
                <w:lang w:val="en-GB"/>
              </w:rPr>
            </w:pPr>
            <w:r w:rsidRPr="003E3DFC">
              <w:rPr>
                <w:b/>
                <w:sz w:val="22"/>
                <w:lang w:val="en-GB"/>
              </w:rPr>
              <w:t xml:space="preserve">Change from 2006 in </w:t>
            </w:r>
          </w:p>
          <w:p w14:paraId="074C69B2" w14:textId="77777777" w:rsidR="006C29E0" w:rsidRPr="003E3DFC" w:rsidRDefault="006C29E0" w:rsidP="006C29E0">
            <w:pPr>
              <w:pStyle w:val="NoSpacing"/>
              <w:jc w:val="center"/>
              <w:rPr>
                <w:b/>
                <w:sz w:val="22"/>
                <w:lang w:val="en-GB"/>
              </w:rPr>
            </w:pPr>
            <w:r w:rsidRPr="003E3DFC">
              <w:rPr>
                <w:b/>
                <w:sz w:val="22"/>
                <w:lang w:val="en-GB"/>
              </w:rPr>
              <w:t>Percent Point</w:t>
            </w:r>
          </w:p>
        </w:tc>
      </w:tr>
      <w:tr w:rsidR="006C29E0" w:rsidRPr="003E3DFC" w14:paraId="66AB3D82" w14:textId="77777777" w:rsidTr="0066613D">
        <w:trPr>
          <w:trHeight w:val="366"/>
        </w:trPr>
        <w:tc>
          <w:tcPr>
            <w:tcW w:w="571" w:type="pct"/>
            <w:vMerge/>
            <w:shd w:val="clear" w:color="auto" w:fill="auto"/>
            <w:vAlign w:val="center"/>
            <w:hideMark/>
          </w:tcPr>
          <w:p w14:paraId="4BFB498F" w14:textId="77777777" w:rsidR="006C29E0" w:rsidRPr="003E3DFC" w:rsidRDefault="006C29E0" w:rsidP="006C29E0">
            <w:pPr>
              <w:pStyle w:val="NoSpacing"/>
              <w:rPr>
                <w:b/>
                <w:sz w:val="16"/>
                <w:lang w:val="en-GB"/>
              </w:rPr>
            </w:pPr>
          </w:p>
        </w:tc>
        <w:tc>
          <w:tcPr>
            <w:tcW w:w="492" w:type="pct"/>
            <w:shd w:val="clear" w:color="auto" w:fill="auto"/>
            <w:tcMar>
              <w:top w:w="15" w:type="dxa"/>
              <w:left w:w="108" w:type="dxa"/>
              <w:bottom w:w="0" w:type="dxa"/>
              <w:right w:w="108" w:type="dxa"/>
            </w:tcMar>
            <w:vAlign w:val="center"/>
            <w:hideMark/>
          </w:tcPr>
          <w:p w14:paraId="0241DFAD" w14:textId="77777777" w:rsidR="006C29E0" w:rsidRPr="003E3DFC" w:rsidRDefault="006C29E0" w:rsidP="006C29E0">
            <w:pPr>
              <w:pStyle w:val="NoSpacing"/>
              <w:rPr>
                <w:b/>
                <w:sz w:val="16"/>
                <w:lang w:val="en-GB"/>
              </w:rPr>
            </w:pPr>
            <w:r w:rsidRPr="003E3DFC">
              <w:rPr>
                <w:b/>
                <w:sz w:val="16"/>
                <w:lang w:val="en-GB"/>
              </w:rPr>
              <w:t>Level 0-2</w:t>
            </w:r>
          </w:p>
        </w:tc>
        <w:tc>
          <w:tcPr>
            <w:tcW w:w="492" w:type="pct"/>
            <w:shd w:val="clear" w:color="auto" w:fill="auto"/>
            <w:tcMar>
              <w:top w:w="15" w:type="dxa"/>
              <w:left w:w="108" w:type="dxa"/>
              <w:bottom w:w="0" w:type="dxa"/>
              <w:right w:w="108" w:type="dxa"/>
            </w:tcMar>
            <w:vAlign w:val="center"/>
            <w:hideMark/>
          </w:tcPr>
          <w:p w14:paraId="342E9277" w14:textId="77777777" w:rsidR="006C29E0" w:rsidRPr="003E3DFC" w:rsidRDefault="006C29E0" w:rsidP="006C29E0">
            <w:pPr>
              <w:pStyle w:val="NoSpacing"/>
              <w:rPr>
                <w:b/>
                <w:sz w:val="16"/>
                <w:lang w:val="en-GB"/>
              </w:rPr>
            </w:pPr>
            <w:r w:rsidRPr="003E3DFC">
              <w:rPr>
                <w:b/>
                <w:sz w:val="16"/>
                <w:lang w:val="en-GB"/>
              </w:rPr>
              <w:t>Level 3-4</w:t>
            </w:r>
          </w:p>
        </w:tc>
        <w:tc>
          <w:tcPr>
            <w:tcW w:w="492" w:type="pct"/>
            <w:shd w:val="clear" w:color="auto" w:fill="auto"/>
            <w:tcMar>
              <w:top w:w="15" w:type="dxa"/>
              <w:left w:w="108" w:type="dxa"/>
              <w:bottom w:w="0" w:type="dxa"/>
              <w:right w:w="108" w:type="dxa"/>
            </w:tcMar>
            <w:vAlign w:val="center"/>
            <w:hideMark/>
          </w:tcPr>
          <w:p w14:paraId="79B5B5EC" w14:textId="77777777" w:rsidR="006C29E0" w:rsidRPr="003E3DFC" w:rsidRDefault="006C29E0" w:rsidP="006C29E0">
            <w:pPr>
              <w:pStyle w:val="NoSpacing"/>
              <w:rPr>
                <w:b/>
                <w:sz w:val="16"/>
                <w:lang w:val="en-GB"/>
              </w:rPr>
            </w:pPr>
            <w:r w:rsidRPr="003E3DFC">
              <w:rPr>
                <w:b/>
                <w:sz w:val="16"/>
                <w:lang w:val="en-GB"/>
              </w:rPr>
              <w:t>Level 5-8</w:t>
            </w:r>
          </w:p>
        </w:tc>
        <w:tc>
          <w:tcPr>
            <w:tcW w:w="492" w:type="pct"/>
            <w:shd w:val="clear" w:color="auto" w:fill="auto"/>
            <w:tcMar>
              <w:top w:w="15" w:type="dxa"/>
              <w:left w:w="108" w:type="dxa"/>
              <w:bottom w:w="0" w:type="dxa"/>
              <w:right w:w="108" w:type="dxa"/>
            </w:tcMar>
            <w:vAlign w:val="center"/>
            <w:hideMark/>
          </w:tcPr>
          <w:p w14:paraId="4B1115A5" w14:textId="77777777" w:rsidR="006C29E0" w:rsidRPr="003E3DFC" w:rsidRDefault="006C29E0" w:rsidP="006C29E0">
            <w:pPr>
              <w:pStyle w:val="NoSpacing"/>
              <w:rPr>
                <w:b/>
                <w:sz w:val="16"/>
                <w:lang w:val="en-GB"/>
              </w:rPr>
            </w:pPr>
            <w:r w:rsidRPr="003E3DFC">
              <w:rPr>
                <w:b/>
                <w:sz w:val="16"/>
                <w:lang w:val="en-GB"/>
              </w:rPr>
              <w:t>Level 0-2</w:t>
            </w:r>
          </w:p>
        </w:tc>
        <w:tc>
          <w:tcPr>
            <w:tcW w:w="492" w:type="pct"/>
            <w:shd w:val="clear" w:color="auto" w:fill="auto"/>
            <w:tcMar>
              <w:top w:w="15" w:type="dxa"/>
              <w:left w:w="108" w:type="dxa"/>
              <w:bottom w:w="0" w:type="dxa"/>
              <w:right w:w="108" w:type="dxa"/>
            </w:tcMar>
            <w:vAlign w:val="center"/>
            <w:hideMark/>
          </w:tcPr>
          <w:p w14:paraId="69783EF8" w14:textId="77777777" w:rsidR="006C29E0" w:rsidRPr="003E3DFC" w:rsidRDefault="006C29E0" w:rsidP="006C29E0">
            <w:pPr>
              <w:pStyle w:val="NoSpacing"/>
              <w:rPr>
                <w:b/>
                <w:sz w:val="16"/>
                <w:lang w:val="en-GB"/>
              </w:rPr>
            </w:pPr>
            <w:r w:rsidRPr="003E3DFC">
              <w:rPr>
                <w:b/>
                <w:sz w:val="16"/>
                <w:lang w:val="en-GB"/>
              </w:rPr>
              <w:t>Level 3-4</w:t>
            </w:r>
          </w:p>
        </w:tc>
        <w:tc>
          <w:tcPr>
            <w:tcW w:w="492" w:type="pct"/>
            <w:shd w:val="clear" w:color="auto" w:fill="auto"/>
            <w:tcMar>
              <w:top w:w="15" w:type="dxa"/>
              <w:left w:w="108" w:type="dxa"/>
              <w:bottom w:w="0" w:type="dxa"/>
              <w:right w:w="108" w:type="dxa"/>
            </w:tcMar>
            <w:vAlign w:val="center"/>
            <w:hideMark/>
          </w:tcPr>
          <w:p w14:paraId="45149CBD" w14:textId="77777777" w:rsidR="006C29E0" w:rsidRPr="003E3DFC" w:rsidRDefault="006C29E0" w:rsidP="006C29E0">
            <w:pPr>
              <w:pStyle w:val="NoSpacing"/>
              <w:rPr>
                <w:b/>
                <w:sz w:val="16"/>
                <w:lang w:val="en-GB"/>
              </w:rPr>
            </w:pPr>
            <w:r w:rsidRPr="003E3DFC">
              <w:rPr>
                <w:b/>
                <w:sz w:val="16"/>
                <w:lang w:val="en-GB"/>
              </w:rPr>
              <w:t>Level 5-8</w:t>
            </w:r>
          </w:p>
        </w:tc>
        <w:tc>
          <w:tcPr>
            <w:tcW w:w="493" w:type="pct"/>
            <w:shd w:val="clear" w:color="auto" w:fill="auto"/>
            <w:tcMar>
              <w:top w:w="15" w:type="dxa"/>
              <w:left w:w="108" w:type="dxa"/>
              <w:bottom w:w="0" w:type="dxa"/>
              <w:right w:w="108" w:type="dxa"/>
            </w:tcMar>
            <w:vAlign w:val="center"/>
            <w:hideMark/>
          </w:tcPr>
          <w:p w14:paraId="42CDE709" w14:textId="77777777" w:rsidR="006C29E0" w:rsidRPr="003E3DFC" w:rsidRDefault="006C29E0" w:rsidP="006C29E0">
            <w:pPr>
              <w:pStyle w:val="NoSpacing"/>
              <w:rPr>
                <w:b/>
                <w:sz w:val="16"/>
                <w:lang w:val="en-GB"/>
              </w:rPr>
            </w:pPr>
            <w:r w:rsidRPr="003E3DFC">
              <w:rPr>
                <w:b/>
                <w:sz w:val="16"/>
                <w:lang w:val="en-GB"/>
              </w:rPr>
              <w:t>Level 0-2</w:t>
            </w:r>
          </w:p>
        </w:tc>
        <w:tc>
          <w:tcPr>
            <w:tcW w:w="493" w:type="pct"/>
            <w:shd w:val="clear" w:color="auto" w:fill="auto"/>
            <w:tcMar>
              <w:top w:w="15" w:type="dxa"/>
              <w:left w:w="108" w:type="dxa"/>
              <w:bottom w:w="0" w:type="dxa"/>
              <w:right w:w="108" w:type="dxa"/>
            </w:tcMar>
            <w:vAlign w:val="center"/>
            <w:hideMark/>
          </w:tcPr>
          <w:p w14:paraId="70251F14" w14:textId="77777777" w:rsidR="006C29E0" w:rsidRPr="003E3DFC" w:rsidRDefault="006C29E0" w:rsidP="006C29E0">
            <w:pPr>
              <w:pStyle w:val="NoSpacing"/>
              <w:rPr>
                <w:b/>
                <w:sz w:val="16"/>
                <w:lang w:val="en-GB"/>
              </w:rPr>
            </w:pPr>
            <w:r w:rsidRPr="003E3DFC">
              <w:rPr>
                <w:b/>
                <w:sz w:val="16"/>
                <w:lang w:val="en-GB"/>
              </w:rPr>
              <w:t>Level 3-4</w:t>
            </w:r>
          </w:p>
        </w:tc>
        <w:tc>
          <w:tcPr>
            <w:tcW w:w="493" w:type="pct"/>
            <w:shd w:val="clear" w:color="auto" w:fill="auto"/>
            <w:tcMar>
              <w:top w:w="15" w:type="dxa"/>
              <w:left w:w="108" w:type="dxa"/>
              <w:bottom w:w="0" w:type="dxa"/>
              <w:right w:w="108" w:type="dxa"/>
            </w:tcMar>
            <w:vAlign w:val="center"/>
            <w:hideMark/>
          </w:tcPr>
          <w:p w14:paraId="5B264829" w14:textId="77777777" w:rsidR="006C29E0" w:rsidRPr="003E3DFC" w:rsidRDefault="006C29E0" w:rsidP="006C29E0">
            <w:pPr>
              <w:pStyle w:val="NoSpacing"/>
              <w:rPr>
                <w:b/>
                <w:sz w:val="16"/>
                <w:lang w:val="en-GB"/>
              </w:rPr>
            </w:pPr>
            <w:r w:rsidRPr="003E3DFC">
              <w:rPr>
                <w:b/>
                <w:sz w:val="16"/>
                <w:lang w:val="en-GB"/>
              </w:rPr>
              <w:t>Level 5-8</w:t>
            </w:r>
          </w:p>
        </w:tc>
      </w:tr>
      <w:tr w:rsidR="006C29E0" w:rsidRPr="003E3DFC" w14:paraId="68627740" w14:textId="77777777" w:rsidTr="0066613D">
        <w:trPr>
          <w:trHeight w:val="366"/>
        </w:trPr>
        <w:tc>
          <w:tcPr>
            <w:tcW w:w="571" w:type="pct"/>
            <w:shd w:val="clear" w:color="auto" w:fill="auto"/>
            <w:tcMar>
              <w:top w:w="15" w:type="dxa"/>
              <w:left w:w="108" w:type="dxa"/>
              <w:bottom w:w="0" w:type="dxa"/>
              <w:right w:w="108" w:type="dxa"/>
            </w:tcMar>
            <w:vAlign w:val="center"/>
            <w:hideMark/>
          </w:tcPr>
          <w:p w14:paraId="5263A4A7" w14:textId="77777777" w:rsidR="006C29E0" w:rsidRPr="003E3DFC" w:rsidRDefault="006C29E0" w:rsidP="006C29E0">
            <w:pPr>
              <w:pStyle w:val="NoSpacing"/>
              <w:rPr>
                <w:b/>
                <w:sz w:val="22"/>
                <w:lang w:val="en-GB"/>
              </w:rPr>
            </w:pPr>
            <w:r w:rsidRPr="003E3DFC">
              <w:rPr>
                <w:b/>
                <w:sz w:val="22"/>
                <w:lang w:val="en-GB"/>
              </w:rPr>
              <w:t>Bulgaria</w:t>
            </w:r>
          </w:p>
        </w:tc>
        <w:tc>
          <w:tcPr>
            <w:tcW w:w="492" w:type="pct"/>
            <w:shd w:val="clear" w:color="auto" w:fill="auto"/>
            <w:tcMar>
              <w:top w:w="15" w:type="dxa"/>
              <w:left w:w="108" w:type="dxa"/>
              <w:bottom w:w="0" w:type="dxa"/>
              <w:right w:w="108" w:type="dxa"/>
            </w:tcMar>
            <w:vAlign w:val="center"/>
            <w:hideMark/>
          </w:tcPr>
          <w:p w14:paraId="53B0813E" w14:textId="77777777" w:rsidR="006C29E0" w:rsidRPr="003E3DFC" w:rsidRDefault="006C29E0" w:rsidP="006C29E0">
            <w:pPr>
              <w:pStyle w:val="NoSpacing"/>
              <w:jc w:val="center"/>
              <w:rPr>
                <w:sz w:val="22"/>
                <w:lang w:val="en-GB"/>
              </w:rPr>
            </w:pPr>
            <w:r w:rsidRPr="003E3DFC">
              <w:rPr>
                <w:sz w:val="22"/>
                <w:lang w:val="en-GB"/>
              </w:rPr>
              <w:t>23.2</w:t>
            </w:r>
          </w:p>
        </w:tc>
        <w:tc>
          <w:tcPr>
            <w:tcW w:w="492" w:type="pct"/>
            <w:shd w:val="clear" w:color="auto" w:fill="auto"/>
            <w:tcMar>
              <w:top w:w="15" w:type="dxa"/>
              <w:left w:w="108" w:type="dxa"/>
              <w:bottom w:w="0" w:type="dxa"/>
              <w:right w:w="108" w:type="dxa"/>
            </w:tcMar>
            <w:vAlign w:val="center"/>
            <w:hideMark/>
          </w:tcPr>
          <w:p w14:paraId="355B1AEA" w14:textId="77777777" w:rsidR="006C29E0" w:rsidRPr="003E3DFC" w:rsidRDefault="006C29E0" w:rsidP="006C29E0">
            <w:pPr>
              <w:pStyle w:val="NoSpacing"/>
              <w:jc w:val="center"/>
              <w:rPr>
                <w:sz w:val="22"/>
                <w:lang w:val="en-GB"/>
              </w:rPr>
            </w:pPr>
            <w:r w:rsidRPr="003E3DFC">
              <w:rPr>
                <w:sz w:val="22"/>
                <w:lang w:val="en-GB"/>
              </w:rPr>
              <w:t>8.4</w:t>
            </w:r>
          </w:p>
        </w:tc>
        <w:tc>
          <w:tcPr>
            <w:tcW w:w="492" w:type="pct"/>
            <w:shd w:val="clear" w:color="auto" w:fill="auto"/>
            <w:tcMar>
              <w:top w:w="15" w:type="dxa"/>
              <w:left w:w="108" w:type="dxa"/>
              <w:bottom w:w="0" w:type="dxa"/>
              <w:right w:w="108" w:type="dxa"/>
            </w:tcMar>
            <w:vAlign w:val="center"/>
            <w:hideMark/>
          </w:tcPr>
          <w:p w14:paraId="0324525C" w14:textId="77777777" w:rsidR="006C29E0" w:rsidRPr="003E3DFC" w:rsidRDefault="006C29E0" w:rsidP="006C29E0">
            <w:pPr>
              <w:pStyle w:val="NoSpacing"/>
              <w:jc w:val="center"/>
              <w:rPr>
                <w:sz w:val="22"/>
                <w:lang w:val="en-GB"/>
              </w:rPr>
            </w:pPr>
            <w:r w:rsidRPr="003E3DFC">
              <w:rPr>
                <w:sz w:val="22"/>
                <w:lang w:val="en-GB"/>
              </w:rPr>
              <w:t>4.1</w:t>
            </w:r>
          </w:p>
        </w:tc>
        <w:tc>
          <w:tcPr>
            <w:tcW w:w="492" w:type="pct"/>
            <w:shd w:val="clear" w:color="auto" w:fill="auto"/>
            <w:tcMar>
              <w:top w:w="15" w:type="dxa"/>
              <w:left w:w="108" w:type="dxa"/>
              <w:bottom w:w="0" w:type="dxa"/>
              <w:right w:w="108" w:type="dxa"/>
            </w:tcMar>
            <w:vAlign w:val="center"/>
            <w:hideMark/>
          </w:tcPr>
          <w:p w14:paraId="2378549D" w14:textId="77777777" w:rsidR="006C29E0" w:rsidRPr="003E3DFC" w:rsidRDefault="006C29E0" w:rsidP="006C29E0">
            <w:pPr>
              <w:pStyle w:val="NoSpacing"/>
              <w:jc w:val="center"/>
              <w:rPr>
                <w:sz w:val="22"/>
                <w:lang w:val="en-GB"/>
              </w:rPr>
            </w:pPr>
            <w:r w:rsidRPr="003E3DFC">
              <w:rPr>
                <w:sz w:val="22"/>
                <w:lang w:val="en-GB"/>
              </w:rPr>
              <w:t>29.5</w:t>
            </w:r>
          </w:p>
        </w:tc>
        <w:tc>
          <w:tcPr>
            <w:tcW w:w="492" w:type="pct"/>
            <w:shd w:val="clear" w:color="auto" w:fill="auto"/>
            <w:tcMar>
              <w:top w:w="15" w:type="dxa"/>
              <w:left w:w="108" w:type="dxa"/>
              <w:bottom w:w="0" w:type="dxa"/>
              <w:right w:w="108" w:type="dxa"/>
            </w:tcMar>
            <w:vAlign w:val="center"/>
            <w:hideMark/>
          </w:tcPr>
          <w:p w14:paraId="5A52BF90" w14:textId="77777777" w:rsidR="006C29E0" w:rsidRPr="003E3DFC" w:rsidRDefault="006C29E0" w:rsidP="006C29E0">
            <w:pPr>
              <w:pStyle w:val="NoSpacing"/>
              <w:jc w:val="center"/>
              <w:rPr>
                <w:sz w:val="22"/>
                <w:lang w:val="en-GB"/>
              </w:rPr>
            </w:pPr>
            <w:r w:rsidRPr="003E3DFC">
              <w:rPr>
                <w:sz w:val="22"/>
                <w:lang w:val="en-GB"/>
              </w:rPr>
              <w:t>11.8</w:t>
            </w:r>
          </w:p>
        </w:tc>
        <w:tc>
          <w:tcPr>
            <w:tcW w:w="492" w:type="pct"/>
            <w:shd w:val="clear" w:color="auto" w:fill="auto"/>
            <w:tcMar>
              <w:top w:w="15" w:type="dxa"/>
              <w:left w:w="108" w:type="dxa"/>
              <w:bottom w:w="0" w:type="dxa"/>
              <w:right w:w="108" w:type="dxa"/>
            </w:tcMar>
            <w:vAlign w:val="center"/>
            <w:hideMark/>
          </w:tcPr>
          <w:p w14:paraId="338BCE75" w14:textId="77777777" w:rsidR="006C29E0" w:rsidRPr="003E3DFC" w:rsidRDefault="006C29E0" w:rsidP="006C29E0">
            <w:pPr>
              <w:pStyle w:val="NoSpacing"/>
              <w:jc w:val="center"/>
              <w:rPr>
                <w:sz w:val="22"/>
                <w:lang w:val="en-GB"/>
              </w:rPr>
            </w:pPr>
            <w:r w:rsidRPr="003E3DFC">
              <w:rPr>
                <w:sz w:val="22"/>
                <w:lang w:val="en-GB"/>
              </w:rPr>
              <w:t>6.4</w:t>
            </w:r>
          </w:p>
        </w:tc>
        <w:tc>
          <w:tcPr>
            <w:tcW w:w="493" w:type="pct"/>
            <w:shd w:val="clear" w:color="auto" w:fill="auto"/>
            <w:tcMar>
              <w:top w:w="15" w:type="dxa"/>
              <w:left w:w="108" w:type="dxa"/>
              <w:bottom w:w="0" w:type="dxa"/>
              <w:right w:w="108" w:type="dxa"/>
            </w:tcMar>
            <w:vAlign w:val="center"/>
            <w:hideMark/>
          </w:tcPr>
          <w:p w14:paraId="157C1B80" w14:textId="77777777" w:rsidR="006C29E0" w:rsidRPr="003E3DFC" w:rsidRDefault="006C29E0" w:rsidP="006C29E0">
            <w:pPr>
              <w:pStyle w:val="NoSpacing"/>
              <w:jc w:val="center"/>
              <w:rPr>
                <w:sz w:val="22"/>
                <w:lang w:val="en-GB"/>
              </w:rPr>
            </w:pPr>
            <w:r w:rsidRPr="003E3DFC">
              <w:rPr>
                <w:sz w:val="22"/>
                <w:lang w:val="en-GB"/>
              </w:rPr>
              <w:t>6.3</w:t>
            </w:r>
          </w:p>
        </w:tc>
        <w:tc>
          <w:tcPr>
            <w:tcW w:w="493" w:type="pct"/>
            <w:shd w:val="clear" w:color="auto" w:fill="auto"/>
            <w:tcMar>
              <w:top w:w="15" w:type="dxa"/>
              <w:left w:w="108" w:type="dxa"/>
              <w:bottom w:w="0" w:type="dxa"/>
              <w:right w:w="108" w:type="dxa"/>
            </w:tcMar>
            <w:vAlign w:val="center"/>
            <w:hideMark/>
          </w:tcPr>
          <w:p w14:paraId="5537AB6E" w14:textId="77777777" w:rsidR="006C29E0" w:rsidRPr="003E3DFC" w:rsidRDefault="006C29E0" w:rsidP="006C29E0">
            <w:pPr>
              <w:pStyle w:val="NoSpacing"/>
              <w:jc w:val="center"/>
              <w:rPr>
                <w:sz w:val="22"/>
                <w:lang w:val="en-GB"/>
              </w:rPr>
            </w:pPr>
            <w:r w:rsidRPr="003E3DFC">
              <w:rPr>
                <w:sz w:val="22"/>
                <w:lang w:val="en-GB"/>
              </w:rPr>
              <w:t>3.4</w:t>
            </w:r>
          </w:p>
        </w:tc>
        <w:tc>
          <w:tcPr>
            <w:tcW w:w="493" w:type="pct"/>
            <w:shd w:val="clear" w:color="auto" w:fill="auto"/>
            <w:tcMar>
              <w:top w:w="15" w:type="dxa"/>
              <w:left w:w="108" w:type="dxa"/>
              <w:bottom w:w="0" w:type="dxa"/>
              <w:right w:w="108" w:type="dxa"/>
            </w:tcMar>
            <w:vAlign w:val="center"/>
            <w:hideMark/>
          </w:tcPr>
          <w:p w14:paraId="53B88210" w14:textId="77777777" w:rsidR="006C29E0" w:rsidRPr="003E3DFC" w:rsidRDefault="006C29E0" w:rsidP="006C29E0">
            <w:pPr>
              <w:pStyle w:val="NoSpacing"/>
              <w:jc w:val="center"/>
              <w:rPr>
                <w:sz w:val="22"/>
                <w:lang w:val="en-GB"/>
              </w:rPr>
            </w:pPr>
            <w:r w:rsidRPr="003E3DFC">
              <w:rPr>
                <w:sz w:val="22"/>
                <w:lang w:val="en-GB"/>
              </w:rPr>
              <w:t>2.3</w:t>
            </w:r>
          </w:p>
        </w:tc>
      </w:tr>
      <w:tr w:rsidR="006C29E0" w:rsidRPr="003E3DFC" w14:paraId="3CA3F37D" w14:textId="77777777" w:rsidTr="0066613D">
        <w:trPr>
          <w:trHeight w:val="366"/>
        </w:trPr>
        <w:tc>
          <w:tcPr>
            <w:tcW w:w="571" w:type="pct"/>
            <w:shd w:val="clear" w:color="auto" w:fill="auto"/>
            <w:tcMar>
              <w:top w:w="15" w:type="dxa"/>
              <w:left w:w="108" w:type="dxa"/>
              <w:bottom w:w="0" w:type="dxa"/>
              <w:right w:w="108" w:type="dxa"/>
            </w:tcMar>
            <w:vAlign w:val="center"/>
            <w:hideMark/>
          </w:tcPr>
          <w:p w14:paraId="2485D17B" w14:textId="77777777" w:rsidR="006C29E0" w:rsidRPr="003E3DFC" w:rsidRDefault="006C29E0" w:rsidP="006C29E0">
            <w:pPr>
              <w:pStyle w:val="NoSpacing"/>
              <w:rPr>
                <w:b/>
                <w:sz w:val="22"/>
                <w:lang w:val="en-GB"/>
              </w:rPr>
            </w:pPr>
            <w:r w:rsidRPr="003E3DFC">
              <w:rPr>
                <w:b/>
                <w:sz w:val="22"/>
                <w:lang w:val="en-GB"/>
              </w:rPr>
              <w:t>Greece</w:t>
            </w:r>
          </w:p>
        </w:tc>
        <w:tc>
          <w:tcPr>
            <w:tcW w:w="492" w:type="pct"/>
            <w:shd w:val="clear" w:color="auto" w:fill="auto"/>
            <w:tcMar>
              <w:top w:w="15" w:type="dxa"/>
              <w:left w:w="108" w:type="dxa"/>
              <w:bottom w:w="0" w:type="dxa"/>
              <w:right w:w="108" w:type="dxa"/>
            </w:tcMar>
            <w:vAlign w:val="center"/>
            <w:hideMark/>
          </w:tcPr>
          <w:p w14:paraId="3CC21F7F" w14:textId="77777777" w:rsidR="006C29E0" w:rsidRPr="003E3DFC" w:rsidRDefault="006C29E0" w:rsidP="006C29E0">
            <w:pPr>
              <w:pStyle w:val="NoSpacing"/>
              <w:jc w:val="center"/>
              <w:rPr>
                <w:sz w:val="22"/>
                <w:lang w:val="en-GB"/>
              </w:rPr>
            </w:pPr>
            <w:r w:rsidRPr="003E3DFC">
              <w:rPr>
                <w:sz w:val="22"/>
                <w:lang w:val="en-GB"/>
              </w:rPr>
              <w:t>13.8</w:t>
            </w:r>
          </w:p>
        </w:tc>
        <w:tc>
          <w:tcPr>
            <w:tcW w:w="492" w:type="pct"/>
            <w:shd w:val="clear" w:color="auto" w:fill="auto"/>
            <w:tcMar>
              <w:top w:w="15" w:type="dxa"/>
              <w:left w:w="108" w:type="dxa"/>
              <w:bottom w:w="0" w:type="dxa"/>
              <w:right w:w="108" w:type="dxa"/>
            </w:tcMar>
            <w:vAlign w:val="center"/>
            <w:hideMark/>
          </w:tcPr>
          <w:p w14:paraId="7E3F0D5F" w14:textId="77777777" w:rsidR="006C29E0" w:rsidRPr="003E3DFC" w:rsidRDefault="006C29E0" w:rsidP="006C29E0">
            <w:pPr>
              <w:pStyle w:val="NoSpacing"/>
              <w:jc w:val="center"/>
              <w:rPr>
                <w:sz w:val="22"/>
                <w:lang w:val="en-GB"/>
              </w:rPr>
            </w:pPr>
            <w:r w:rsidRPr="003E3DFC">
              <w:rPr>
                <w:sz w:val="22"/>
                <w:lang w:val="en-GB"/>
              </w:rPr>
              <w:t>16.3</w:t>
            </w:r>
          </w:p>
        </w:tc>
        <w:tc>
          <w:tcPr>
            <w:tcW w:w="492" w:type="pct"/>
            <w:shd w:val="clear" w:color="auto" w:fill="auto"/>
            <w:tcMar>
              <w:top w:w="15" w:type="dxa"/>
              <w:left w:w="108" w:type="dxa"/>
              <w:bottom w:w="0" w:type="dxa"/>
              <w:right w:w="108" w:type="dxa"/>
            </w:tcMar>
            <w:vAlign w:val="center"/>
            <w:hideMark/>
          </w:tcPr>
          <w:p w14:paraId="53F0E53B" w14:textId="77777777" w:rsidR="006C29E0" w:rsidRPr="003E3DFC" w:rsidRDefault="006C29E0" w:rsidP="006C29E0">
            <w:pPr>
              <w:pStyle w:val="NoSpacing"/>
              <w:jc w:val="center"/>
              <w:rPr>
                <w:sz w:val="22"/>
                <w:lang w:val="en-GB"/>
              </w:rPr>
            </w:pPr>
            <w:r w:rsidRPr="003E3DFC">
              <w:rPr>
                <w:sz w:val="22"/>
                <w:lang w:val="en-GB"/>
              </w:rPr>
              <w:t>10.3</w:t>
            </w:r>
          </w:p>
        </w:tc>
        <w:tc>
          <w:tcPr>
            <w:tcW w:w="492" w:type="pct"/>
            <w:shd w:val="clear" w:color="auto" w:fill="auto"/>
            <w:tcMar>
              <w:top w:w="15" w:type="dxa"/>
              <w:left w:w="108" w:type="dxa"/>
              <w:bottom w:w="0" w:type="dxa"/>
              <w:right w:w="108" w:type="dxa"/>
            </w:tcMar>
            <w:vAlign w:val="center"/>
            <w:hideMark/>
          </w:tcPr>
          <w:p w14:paraId="5B96DBAD" w14:textId="77777777" w:rsidR="006C29E0" w:rsidRPr="003E3DFC" w:rsidRDefault="006C29E0" w:rsidP="006C29E0">
            <w:pPr>
              <w:pStyle w:val="NoSpacing"/>
              <w:jc w:val="center"/>
              <w:rPr>
                <w:sz w:val="22"/>
                <w:lang w:val="en-GB"/>
              </w:rPr>
            </w:pPr>
            <w:r w:rsidRPr="003E3DFC">
              <w:rPr>
                <w:sz w:val="22"/>
                <w:lang w:val="en-GB"/>
              </w:rPr>
              <w:t>31.8</w:t>
            </w:r>
          </w:p>
        </w:tc>
        <w:tc>
          <w:tcPr>
            <w:tcW w:w="492" w:type="pct"/>
            <w:shd w:val="clear" w:color="auto" w:fill="auto"/>
            <w:tcMar>
              <w:top w:w="15" w:type="dxa"/>
              <w:left w:w="108" w:type="dxa"/>
              <w:bottom w:w="0" w:type="dxa"/>
              <w:right w:w="108" w:type="dxa"/>
            </w:tcMar>
            <w:vAlign w:val="center"/>
            <w:hideMark/>
          </w:tcPr>
          <w:p w14:paraId="4576747B" w14:textId="77777777" w:rsidR="006C29E0" w:rsidRPr="003E3DFC" w:rsidRDefault="006C29E0" w:rsidP="006C29E0">
            <w:pPr>
              <w:pStyle w:val="NoSpacing"/>
              <w:jc w:val="center"/>
              <w:rPr>
                <w:sz w:val="22"/>
                <w:lang w:val="en-GB"/>
              </w:rPr>
            </w:pPr>
            <w:r w:rsidRPr="003E3DFC">
              <w:rPr>
                <w:sz w:val="22"/>
                <w:lang w:val="en-GB"/>
              </w:rPr>
              <w:t>37.2</w:t>
            </w:r>
          </w:p>
        </w:tc>
        <w:tc>
          <w:tcPr>
            <w:tcW w:w="492" w:type="pct"/>
            <w:shd w:val="clear" w:color="auto" w:fill="auto"/>
            <w:tcMar>
              <w:top w:w="15" w:type="dxa"/>
              <w:left w:w="108" w:type="dxa"/>
              <w:bottom w:w="0" w:type="dxa"/>
              <w:right w:w="108" w:type="dxa"/>
            </w:tcMar>
            <w:vAlign w:val="center"/>
            <w:hideMark/>
          </w:tcPr>
          <w:p w14:paraId="6C5F7D74" w14:textId="77777777" w:rsidR="006C29E0" w:rsidRPr="003E3DFC" w:rsidRDefault="006C29E0" w:rsidP="006C29E0">
            <w:pPr>
              <w:pStyle w:val="NoSpacing"/>
              <w:jc w:val="center"/>
              <w:rPr>
                <w:sz w:val="22"/>
                <w:lang w:val="en-GB"/>
              </w:rPr>
            </w:pPr>
            <w:r w:rsidRPr="003E3DFC">
              <w:rPr>
                <w:sz w:val="22"/>
                <w:lang w:val="en-GB"/>
              </w:rPr>
              <w:t>24.5</w:t>
            </w:r>
          </w:p>
        </w:tc>
        <w:tc>
          <w:tcPr>
            <w:tcW w:w="493" w:type="pct"/>
            <w:shd w:val="clear" w:color="auto" w:fill="auto"/>
            <w:tcMar>
              <w:top w:w="15" w:type="dxa"/>
              <w:left w:w="108" w:type="dxa"/>
              <w:bottom w:w="0" w:type="dxa"/>
              <w:right w:w="108" w:type="dxa"/>
            </w:tcMar>
            <w:vAlign w:val="center"/>
            <w:hideMark/>
          </w:tcPr>
          <w:p w14:paraId="265CC520" w14:textId="77777777" w:rsidR="006C29E0" w:rsidRPr="003E3DFC" w:rsidRDefault="006C29E0" w:rsidP="006C29E0">
            <w:pPr>
              <w:pStyle w:val="NoSpacing"/>
              <w:jc w:val="center"/>
              <w:rPr>
                <w:sz w:val="22"/>
                <w:lang w:val="en-GB"/>
              </w:rPr>
            </w:pPr>
            <w:r w:rsidRPr="003E3DFC">
              <w:rPr>
                <w:sz w:val="22"/>
                <w:lang w:val="en-GB"/>
              </w:rPr>
              <w:t>18.0</w:t>
            </w:r>
          </w:p>
        </w:tc>
        <w:tc>
          <w:tcPr>
            <w:tcW w:w="493" w:type="pct"/>
            <w:shd w:val="clear" w:color="auto" w:fill="auto"/>
            <w:tcMar>
              <w:top w:w="15" w:type="dxa"/>
              <w:left w:w="108" w:type="dxa"/>
              <w:bottom w:w="0" w:type="dxa"/>
              <w:right w:w="108" w:type="dxa"/>
            </w:tcMar>
            <w:vAlign w:val="center"/>
            <w:hideMark/>
          </w:tcPr>
          <w:p w14:paraId="50032B60" w14:textId="77777777" w:rsidR="006C29E0" w:rsidRPr="003E3DFC" w:rsidRDefault="006C29E0" w:rsidP="006C29E0">
            <w:pPr>
              <w:pStyle w:val="NoSpacing"/>
              <w:jc w:val="center"/>
              <w:rPr>
                <w:sz w:val="22"/>
                <w:lang w:val="en-GB"/>
              </w:rPr>
            </w:pPr>
            <w:r w:rsidRPr="003E3DFC">
              <w:rPr>
                <w:sz w:val="22"/>
                <w:lang w:val="en-GB"/>
              </w:rPr>
              <w:t>20.9</w:t>
            </w:r>
          </w:p>
        </w:tc>
        <w:tc>
          <w:tcPr>
            <w:tcW w:w="493" w:type="pct"/>
            <w:shd w:val="clear" w:color="auto" w:fill="auto"/>
            <w:tcMar>
              <w:top w:w="15" w:type="dxa"/>
              <w:left w:w="108" w:type="dxa"/>
              <w:bottom w:w="0" w:type="dxa"/>
              <w:right w:w="108" w:type="dxa"/>
            </w:tcMar>
            <w:vAlign w:val="center"/>
            <w:hideMark/>
          </w:tcPr>
          <w:p w14:paraId="24A3D80B" w14:textId="77777777" w:rsidR="006C29E0" w:rsidRPr="003E3DFC" w:rsidRDefault="006C29E0" w:rsidP="006C29E0">
            <w:pPr>
              <w:pStyle w:val="NoSpacing"/>
              <w:jc w:val="center"/>
              <w:rPr>
                <w:sz w:val="22"/>
                <w:lang w:val="en-GB"/>
              </w:rPr>
            </w:pPr>
            <w:r w:rsidRPr="003E3DFC">
              <w:rPr>
                <w:sz w:val="22"/>
                <w:lang w:val="en-GB"/>
              </w:rPr>
              <w:t>14.2</w:t>
            </w:r>
          </w:p>
        </w:tc>
      </w:tr>
      <w:tr w:rsidR="006C29E0" w:rsidRPr="003E3DFC" w14:paraId="540B20AD" w14:textId="77777777" w:rsidTr="0066613D">
        <w:trPr>
          <w:trHeight w:val="366"/>
        </w:trPr>
        <w:tc>
          <w:tcPr>
            <w:tcW w:w="571" w:type="pct"/>
            <w:shd w:val="clear" w:color="auto" w:fill="auto"/>
            <w:tcMar>
              <w:top w:w="15" w:type="dxa"/>
              <w:left w:w="108" w:type="dxa"/>
              <w:bottom w:w="0" w:type="dxa"/>
              <w:right w:w="108" w:type="dxa"/>
            </w:tcMar>
            <w:vAlign w:val="center"/>
            <w:hideMark/>
          </w:tcPr>
          <w:p w14:paraId="78C0E5E9" w14:textId="77777777" w:rsidR="006C29E0" w:rsidRPr="003E3DFC" w:rsidRDefault="006C29E0" w:rsidP="006C29E0">
            <w:pPr>
              <w:pStyle w:val="NoSpacing"/>
              <w:rPr>
                <w:b/>
                <w:sz w:val="22"/>
                <w:lang w:val="en-GB"/>
              </w:rPr>
            </w:pPr>
            <w:r w:rsidRPr="003E3DFC">
              <w:rPr>
                <w:b/>
                <w:sz w:val="22"/>
                <w:lang w:val="en-GB"/>
              </w:rPr>
              <w:t>Croatia</w:t>
            </w:r>
          </w:p>
        </w:tc>
        <w:tc>
          <w:tcPr>
            <w:tcW w:w="492" w:type="pct"/>
            <w:shd w:val="clear" w:color="auto" w:fill="auto"/>
            <w:tcMar>
              <w:top w:w="15" w:type="dxa"/>
              <w:left w:w="108" w:type="dxa"/>
              <w:bottom w:w="0" w:type="dxa"/>
              <w:right w:w="108" w:type="dxa"/>
            </w:tcMar>
            <w:vAlign w:val="center"/>
            <w:hideMark/>
          </w:tcPr>
          <w:p w14:paraId="1B41243E" w14:textId="77777777" w:rsidR="006C29E0" w:rsidRPr="003E3DFC" w:rsidRDefault="006C29E0" w:rsidP="006C29E0">
            <w:pPr>
              <w:pStyle w:val="NoSpacing"/>
              <w:jc w:val="center"/>
              <w:rPr>
                <w:sz w:val="22"/>
                <w:lang w:val="en-GB"/>
              </w:rPr>
            </w:pPr>
            <w:r w:rsidRPr="003E3DFC">
              <w:rPr>
                <w:sz w:val="22"/>
                <w:lang w:val="en-GB"/>
              </w:rPr>
              <w:t>14.0</w:t>
            </w:r>
          </w:p>
        </w:tc>
        <w:tc>
          <w:tcPr>
            <w:tcW w:w="492" w:type="pct"/>
            <w:shd w:val="clear" w:color="auto" w:fill="auto"/>
            <w:tcMar>
              <w:top w:w="15" w:type="dxa"/>
              <w:left w:w="108" w:type="dxa"/>
              <w:bottom w:w="0" w:type="dxa"/>
              <w:right w:w="108" w:type="dxa"/>
            </w:tcMar>
            <w:vAlign w:val="center"/>
            <w:hideMark/>
          </w:tcPr>
          <w:p w14:paraId="2D181719" w14:textId="77777777" w:rsidR="006C29E0" w:rsidRPr="003E3DFC" w:rsidRDefault="006C29E0" w:rsidP="006C29E0">
            <w:pPr>
              <w:pStyle w:val="NoSpacing"/>
              <w:jc w:val="center"/>
              <w:rPr>
                <w:sz w:val="22"/>
                <w:lang w:val="en-GB"/>
              </w:rPr>
            </w:pPr>
            <w:r w:rsidRPr="003E3DFC">
              <w:rPr>
                <w:sz w:val="22"/>
                <w:lang w:val="en-GB"/>
              </w:rPr>
              <w:t>15.2</w:t>
            </w:r>
          </w:p>
        </w:tc>
        <w:tc>
          <w:tcPr>
            <w:tcW w:w="492" w:type="pct"/>
            <w:shd w:val="clear" w:color="auto" w:fill="auto"/>
            <w:tcMar>
              <w:top w:w="15" w:type="dxa"/>
              <w:left w:w="108" w:type="dxa"/>
              <w:bottom w:w="0" w:type="dxa"/>
              <w:right w:w="108" w:type="dxa"/>
            </w:tcMar>
            <w:vAlign w:val="center"/>
            <w:hideMark/>
          </w:tcPr>
          <w:p w14:paraId="103AD2E2" w14:textId="77777777" w:rsidR="006C29E0" w:rsidRPr="003E3DFC" w:rsidRDefault="006C29E0" w:rsidP="006C29E0">
            <w:pPr>
              <w:pStyle w:val="NoSpacing"/>
              <w:jc w:val="center"/>
              <w:rPr>
                <w:sz w:val="22"/>
                <w:lang w:val="en-GB"/>
              </w:rPr>
            </w:pPr>
            <w:r w:rsidRPr="003E3DFC">
              <w:rPr>
                <w:sz w:val="22"/>
                <w:lang w:val="en-GB"/>
              </w:rPr>
              <w:t>7.0</w:t>
            </w:r>
          </w:p>
        </w:tc>
        <w:tc>
          <w:tcPr>
            <w:tcW w:w="492" w:type="pct"/>
            <w:shd w:val="clear" w:color="auto" w:fill="auto"/>
            <w:tcMar>
              <w:top w:w="15" w:type="dxa"/>
              <w:left w:w="108" w:type="dxa"/>
              <w:bottom w:w="0" w:type="dxa"/>
              <w:right w:w="108" w:type="dxa"/>
            </w:tcMar>
            <w:vAlign w:val="center"/>
            <w:hideMark/>
          </w:tcPr>
          <w:p w14:paraId="3BB8CF71" w14:textId="77777777" w:rsidR="006C29E0" w:rsidRPr="003E3DFC" w:rsidRDefault="006C29E0" w:rsidP="006C29E0">
            <w:pPr>
              <w:pStyle w:val="NoSpacing"/>
              <w:jc w:val="center"/>
              <w:rPr>
                <w:sz w:val="22"/>
                <w:lang w:val="en-GB"/>
              </w:rPr>
            </w:pPr>
            <w:r w:rsidRPr="003E3DFC">
              <w:rPr>
                <w:sz w:val="22"/>
                <w:lang w:val="en-GB"/>
              </w:rPr>
              <w:t>21.2</w:t>
            </w:r>
          </w:p>
        </w:tc>
        <w:tc>
          <w:tcPr>
            <w:tcW w:w="492" w:type="pct"/>
            <w:shd w:val="clear" w:color="auto" w:fill="auto"/>
            <w:tcMar>
              <w:top w:w="15" w:type="dxa"/>
              <w:left w:w="108" w:type="dxa"/>
              <w:bottom w:w="0" w:type="dxa"/>
              <w:right w:w="108" w:type="dxa"/>
            </w:tcMar>
            <w:vAlign w:val="center"/>
            <w:hideMark/>
          </w:tcPr>
          <w:p w14:paraId="3BFAE364" w14:textId="77777777" w:rsidR="006C29E0" w:rsidRPr="003E3DFC" w:rsidRDefault="006C29E0" w:rsidP="006C29E0">
            <w:pPr>
              <w:pStyle w:val="NoSpacing"/>
              <w:jc w:val="center"/>
              <w:rPr>
                <w:sz w:val="22"/>
                <w:lang w:val="en-GB"/>
              </w:rPr>
            </w:pPr>
            <w:r w:rsidRPr="003E3DFC">
              <w:rPr>
                <w:sz w:val="22"/>
                <w:lang w:val="en-GB"/>
              </w:rPr>
              <w:t>18.5</w:t>
            </w:r>
          </w:p>
        </w:tc>
        <w:tc>
          <w:tcPr>
            <w:tcW w:w="492" w:type="pct"/>
            <w:shd w:val="clear" w:color="auto" w:fill="auto"/>
            <w:tcMar>
              <w:top w:w="15" w:type="dxa"/>
              <w:left w:w="108" w:type="dxa"/>
              <w:bottom w:w="0" w:type="dxa"/>
              <w:right w:w="108" w:type="dxa"/>
            </w:tcMar>
            <w:vAlign w:val="center"/>
            <w:hideMark/>
          </w:tcPr>
          <w:p w14:paraId="22F235CB" w14:textId="77777777" w:rsidR="006C29E0" w:rsidRPr="003E3DFC" w:rsidRDefault="006C29E0" w:rsidP="006C29E0">
            <w:pPr>
              <w:pStyle w:val="NoSpacing"/>
              <w:jc w:val="center"/>
              <w:rPr>
                <w:sz w:val="22"/>
                <w:lang w:val="en-GB"/>
              </w:rPr>
            </w:pPr>
            <w:r w:rsidRPr="003E3DFC">
              <w:rPr>
                <w:sz w:val="22"/>
                <w:lang w:val="en-GB"/>
              </w:rPr>
              <w:t>11.9</w:t>
            </w:r>
          </w:p>
        </w:tc>
        <w:tc>
          <w:tcPr>
            <w:tcW w:w="493" w:type="pct"/>
            <w:shd w:val="clear" w:color="auto" w:fill="auto"/>
            <w:tcMar>
              <w:top w:w="15" w:type="dxa"/>
              <w:left w:w="108" w:type="dxa"/>
              <w:bottom w:w="0" w:type="dxa"/>
              <w:right w:w="108" w:type="dxa"/>
            </w:tcMar>
            <w:vAlign w:val="center"/>
            <w:hideMark/>
          </w:tcPr>
          <w:p w14:paraId="410664A5" w14:textId="77777777" w:rsidR="006C29E0" w:rsidRPr="003E3DFC" w:rsidRDefault="006C29E0" w:rsidP="006C29E0">
            <w:pPr>
              <w:pStyle w:val="NoSpacing"/>
              <w:jc w:val="center"/>
              <w:rPr>
                <w:sz w:val="22"/>
                <w:lang w:val="en-GB"/>
              </w:rPr>
            </w:pPr>
            <w:r w:rsidRPr="003E3DFC">
              <w:rPr>
                <w:sz w:val="22"/>
                <w:lang w:val="en-GB"/>
              </w:rPr>
              <w:t>7.2</w:t>
            </w:r>
          </w:p>
        </w:tc>
        <w:tc>
          <w:tcPr>
            <w:tcW w:w="493" w:type="pct"/>
            <w:shd w:val="clear" w:color="auto" w:fill="auto"/>
            <w:tcMar>
              <w:top w:w="15" w:type="dxa"/>
              <w:left w:w="108" w:type="dxa"/>
              <w:bottom w:w="0" w:type="dxa"/>
              <w:right w:w="108" w:type="dxa"/>
            </w:tcMar>
            <w:vAlign w:val="center"/>
            <w:hideMark/>
          </w:tcPr>
          <w:p w14:paraId="2D4FD4C0" w14:textId="77777777" w:rsidR="006C29E0" w:rsidRPr="003E3DFC" w:rsidRDefault="006C29E0" w:rsidP="006C29E0">
            <w:pPr>
              <w:pStyle w:val="NoSpacing"/>
              <w:jc w:val="center"/>
              <w:rPr>
                <w:sz w:val="22"/>
                <w:lang w:val="en-GB"/>
              </w:rPr>
            </w:pPr>
            <w:r w:rsidRPr="003E3DFC">
              <w:rPr>
                <w:sz w:val="22"/>
                <w:lang w:val="en-GB"/>
              </w:rPr>
              <w:t>3.3</w:t>
            </w:r>
          </w:p>
        </w:tc>
        <w:tc>
          <w:tcPr>
            <w:tcW w:w="493" w:type="pct"/>
            <w:shd w:val="clear" w:color="auto" w:fill="auto"/>
            <w:tcMar>
              <w:top w:w="15" w:type="dxa"/>
              <w:left w:w="108" w:type="dxa"/>
              <w:bottom w:w="0" w:type="dxa"/>
              <w:right w:w="108" w:type="dxa"/>
            </w:tcMar>
            <w:vAlign w:val="center"/>
            <w:hideMark/>
          </w:tcPr>
          <w:p w14:paraId="6AA1962D" w14:textId="77777777" w:rsidR="006C29E0" w:rsidRPr="003E3DFC" w:rsidRDefault="006C29E0" w:rsidP="006C29E0">
            <w:pPr>
              <w:pStyle w:val="NoSpacing"/>
              <w:jc w:val="center"/>
              <w:rPr>
                <w:sz w:val="22"/>
                <w:lang w:val="en-GB"/>
              </w:rPr>
            </w:pPr>
            <w:r w:rsidRPr="003E3DFC">
              <w:rPr>
                <w:sz w:val="22"/>
                <w:lang w:val="en-GB"/>
              </w:rPr>
              <w:t>4.9</w:t>
            </w:r>
          </w:p>
        </w:tc>
      </w:tr>
      <w:tr w:rsidR="006C29E0" w:rsidRPr="003E3DFC" w14:paraId="098A966C" w14:textId="77777777" w:rsidTr="0066613D">
        <w:trPr>
          <w:trHeight w:val="366"/>
        </w:trPr>
        <w:tc>
          <w:tcPr>
            <w:tcW w:w="571" w:type="pct"/>
            <w:shd w:val="clear" w:color="auto" w:fill="auto"/>
            <w:tcMar>
              <w:top w:w="15" w:type="dxa"/>
              <w:left w:w="108" w:type="dxa"/>
              <w:bottom w:w="0" w:type="dxa"/>
              <w:right w:w="108" w:type="dxa"/>
            </w:tcMar>
            <w:vAlign w:val="center"/>
            <w:hideMark/>
          </w:tcPr>
          <w:p w14:paraId="49F16F01" w14:textId="77777777" w:rsidR="006C29E0" w:rsidRPr="003E3DFC" w:rsidRDefault="006C29E0" w:rsidP="006C29E0">
            <w:pPr>
              <w:pStyle w:val="NoSpacing"/>
              <w:rPr>
                <w:b/>
                <w:sz w:val="22"/>
                <w:lang w:val="en-GB"/>
              </w:rPr>
            </w:pPr>
            <w:r w:rsidRPr="003E3DFC">
              <w:rPr>
                <w:b/>
                <w:sz w:val="22"/>
                <w:lang w:val="en-GB"/>
              </w:rPr>
              <w:t>Slovenia</w:t>
            </w:r>
          </w:p>
        </w:tc>
        <w:tc>
          <w:tcPr>
            <w:tcW w:w="492" w:type="pct"/>
            <w:shd w:val="clear" w:color="auto" w:fill="auto"/>
            <w:tcMar>
              <w:top w:w="15" w:type="dxa"/>
              <w:left w:w="108" w:type="dxa"/>
              <w:bottom w:w="0" w:type="dxa"/>
              <w:right w:w="108" w:type="dxa"/>
            </w:tcMar>
            <w:vAlign w:val="center"/>
            <w:hideMark/>
          </w:tcPr>
          <w:p w14:paraId="4E3C5141" w14:textId="77777777" w:rsidR="006C29E0" w:rsidRPr="003E3DFC" w:rsidRDefault="006C29E0" w:rsidP="006C29E0">
            <w:pPr>
              <w:pStyle w:val="NoSpacing"/>
              <w:jc w:val="center"/>
              <w:rPr>
                <w:sz w:val="22"/>
                <w:lang w:val="en-GB"/>
              </w:rPr>
            </w:pPr>
            <w:r w:rsidRPr="003E3DFC">
              <w:rPr>
                <w:sz w:val="22"/>
                <w:lang w:val="en-GB"/>
              </w:rPr>
              <w:t>7.9</w:t>
            </w:r>
          </w:p>
        </w:tc>
        <w:tc>
          <w:tcPr>
            <w:tcW w:w="492" w:type="pct"/>
            <w:shd w:val="clear" w:color="auto" w:fill="auto"/>
            <w:tcMar>
              <w:top w:w="15" w:type="dxa"/>
              <w:left w:w="108" w:type="dxa"/>
              <w:bottom w:w="0" w:type="dxa"/>
              <w:right w:w="108" w:type="dxa"/>
            </w:tcMar>
            <w:vAlign w:val="center"/>
            <w:hideMark/>
          </w:tcPr>
          <w:p w14:paraId="7B0606EC" w14:textId="77777777" w:rsidR="006C29E0" w:rsidRPr="003E3DFC" w:rsidRDefault="006C29E0" w:rsidP="006C29E0">
            <w:pPr>
              <w:pStyle w:val="NoSpacing"/>
              <w:jc w:val="center"/>
              <w:rPr>
                <w:sz w:val="22"/>
                <w:lang w:val="en-GB"/>
              </w:rPr>
            </w:pPr>
            <w:r w:rsidRPr="003E3DFC">
              <w:rPr>
                <w:sz w:val="22"/>
                <w:lang w:val="en-GB"/>
              </w:rPr>
              <w:t>8.9</w:t>
            </w:r>
          </w:p>
        </w:tc>
        <w:tc>
          <w:tcPr>
            <w:tcW w:w="492" w:type="pct"/>
            <w:shd w:val="clear" w:color="auto" w:fill="auto"/>
            <w:tcMar>
              <w:top w:w="15" w:type="dxa"/>
              <w:left w:w="108" w:type="dxa"/>
              <w:bottom w:w="0" w:type="dxa"/>
              <w:right w:w="108" w:type="dxa"/>
            </w:tcMar>
            <w:vAlign w:val="center"/>
            <w:hideMark/>
          </w:tcPr>
          <w:p w14:paraId="3144838C" w14:textId="77777777" w:rsidR="006C29E0" w:rsidRPr="003E3DFC" w:rsidRDefault="006C29E0" w:rsidP="006C29E0">
            <w:pPr>
              <w:pStyle w:val="NoSpacing"/>
              <w:jc w:val="center"/>
              <w:rPr>
                <w:sz w:val="22"/>
                <w:lang w:val="en-GB"/>
              </w:rPr>
            </w:pPr>
            <w:r w:rsidRPr="003E3DFC">
              <w:rPr>
                <w:sz w:val="22"/>
                <w:lang w:val="en-GB"/>
              </w:rPr>
              <w:t>3.9</w:t>
            </w:r>
          </w:p>
        </w:tc>
        <w:tc>
          <w:tcPr>
            <w:tcW w:w="492" w:type="pct"/>
            <w:shd w:val="clear" w:color="auto" w:fill="auto"/>
            <w:tcMar>
              <w:top w:w="15" w:type="dxa"/>
              <w:left w:w="108" w:type="dxa"/>
              <w:bottom w:w="0" w:type="dxa"/>
              <w:right w:w="108" w:type="dxa"/>
            </w:tcMar>
            <w:vAlign w:val="center"/>
            <w:hideMark/>
          </w:tcPr>
          <w:p w14:paraId="2C77566C" w14:textId="77777777" w:rsidR="006C29E0" w:rsidRPr="003E3DFC" w:rsidRDefault="006C29E0" w:rsidP="006C29E0">
            <w:pPr>
              <w:pStyle w:val="NoSpacing"/>
              <w:jc w:val="center"/>
              <w:rPr>
                <w:sz w:val="22"/>
                <w:lang w:val="en-GB"/>
              </w:rPr>
            </w:pPr>
            <w:r w:rsidRPr="003E3DFC">
              <w:rPr>
                <w:sz w:val="22"/>
                <w:lang w:val="en-GB"/>
              </w:rPr>
              <w:t>20.2</w:t>
            </w:r>
          </w:p>
        </w:tc>
        <w:tc>
          <w:tcPr>
            <w:tcW w:w="492" w:type="pct"/>
            <w:shd w:val="clear" w:color="auto" w:fill="auto"/>
            <w:tcMar>
              <w:top w:w="15" w:type="dxa"/>
              <w:left w:w="108" w:type="dxa"/>
              <w:bottom w:w="0" w:type="dxa"/>
              <w:right w:w="108" w:type="dxa"/>
            </w:tcMar>
            <w:vAlign w:val="center"/>
            <w:hideMark/>
          </w:tcPr>
          <w:p w14:paraId="793B286D" w14:textId="77777777" w:rsidR="006C29E0" w:rsidRPr="003E3DFC" w:rsidRDefault="006C29E0" w:rsidP="006C29E0">
            <w:pPr>
              <w:pStyle w:val="NoSpacing"/>
              <w:jc w:val="center"/>
              <w:rPr>
                <w:sz w:val="22"/>
                <w:lang w:val="en-GB"/>
              </w:rPr>
            </w:pPr>
            <w:r w:rsidRPr="003E3DFC">
              <w:rPr>
                <w:sz w:val="22"/>
                <w:lang w:val="en-GB"/>
              </w:rPr>
              <w:t>12.3</w:t>
            </w:r>
          </w:p>
        </w:tc>
        <w:tc>
          <w:tcPr>
            <w:tcW w:w="492" w:type="pct"/>
            <w:shd w:val="clear" w:color="auto" w:fill="auto"/>
            <w:tcMar>
              <w:top w:w="15" w:type="dxa"/>
              <w:left w:w="108" w:type="dxa"/>
              <w:bottom w:w="0" w:type="dxa"/>
              <w:right w:w="108" w:type="dxa"/>
            </w:tcMar>
            <w:vAlign w:val="center"/>
            <w:hideMark/>
          </w:tcPr>
          <w:p w14:paraId="6D8ACA77" w14:textId="77777777" w:rsidR="006C29E0" w:rsidRPr="003E3DFC" w:rsidRDefault="006C29E0" w:rsidP="006C29E0">
            <w:pPr>
              <w:pStyle w:val="NoSpacing"/>
              <w:jc w:val="center"/>
              <w:rPr>
                <w:sz w:val="22"/>
                <w:lang w:val="en-GB"/>
              </w:rPr>
            </w:pPr>
            <w:r w:rsidRPr="003E3DFC">
              <w:rPr>
                <w:sz w:val="22"/>
                <w:lang w:val="en-GB"/>
              </w:rPr>
              <w:t>7.1</w:t>
            </w:r>
          </w:p>
        </w:tc>
        <w:tc>
          <w:tcPr>
            <w:tcW w:w="493" w:type="pct"/>
            <w:shd w:val="clear" w:color="auto" w:fill="auto"/>
            <w:tcMar>
              <w:top w:w="15" w:type="dxa"/>
              <w:left w:w="108" w:type="dxa"/>
              <w:bottom w:w="0" w:type="dxa"/>
              <w:right w:w="108" w:type="dxa"/>
            </w:tcMar>
            <w:vAlign w:val="center"/>
            <w:hideMark/>
          </w:tcPr>
          <w:p w14:paraId="00863497" w14:textId="77777777" w:rsidR="006C29E0" w:rsidRPr="003E3DFC" w:rsidRDefault="006C29E0" w:rsidP="006C29E0">
            <w:pPr>
              <w:pStyle w:val="NoSpacing"/>
              <w:jc w:val="center"/>
              <w:rPr>
                <w:sz w:val="22"/>
                <w:lang w:val="en-GB"/>
              </w:rPr>
            </w:pPr>
            <w:r w:rsidRPr="003E3DFC">
              <w:rPr>
                <w:sz w:val="22"/>
                <w:lang w:val="en-GB"/>
              </w:rPr>
              <w:t>12.3</w:t>
            </w:r>
          </w:p>
        </w:tc>
        <w:tc>
          <w:tcPr>
            <w:tcW w:w="493" w:type="pct"/>
            <w:shd w:val="clear" w:color="auto" w:fill="auto"/>
            <w:tcMar>
              <w:top w:w="15" w:type="dxa"/>
              <w:left w:w="108" w:type="dxa"/>
              <w:bottom w:w="0" w:type="dxa"/>
              <w:right w:w="108" w:type="dxa"/>
            </w:tcMar>
            <w:vAlign w:val="center"/>
            <w:hideMark/>
          </w:tcPr>
          <w:p w14:paraId="379C33FC" w14:textId="77777777" w:rsidR="006C29E0" w:rsidRPr="003E3DFC" w:rsidRDefault="006C29E0" w:rsidP="006C29E0">
            <w:pPr>
              <w:pStyle w:val="NoSpacing"/>
              <w:jc w:val="center"/>
              <w:rPr>
                <w:sz w:val="22"/>
                <w:lang w:val="en-GB"/>
              </w:rPr>
            </w:pPr>
            <w:r w:rsidRPr="003E3DFC">
              <w:rPr>
                <w:sz w:val="22"/>
                <w:lang w:val="en-GB"/>
              </w:rPr>
              <w:t>3.4</w:t>
            </w:r>
          </w:p>
        </w:tc>
        <w:tc>
          <w:tcPr>
            <w:tcW w:w="493" w:type="pct"/>
            <w:shd w:val="clear" w:color="auto" w:fill="auto"/>
            <w:tcMar>
              <w:top w:w="15" w:type="dxa"/>
              <w:left w:w="108" w:type="dxa"/>
              <w:bottom w:w="0" w:type="dxa"/>
              <w:right w:w="108" w:type="dxa"/>
            </w:tcMar>
            <w:vAlign w:val="center"/>
            <w:hideMark/>
          </w:tcPr>
          <w:p w14:paraId="7E832E0D" w14:textId="77777777" w:rsidR="006C29E0" w:rsidRPr="003E3DFC" w:rsidRDefault="006C29E0" w:rsidP="006C29E0">
            <w:pPr>
              <w:pStyle w:val="NoSpacing"/>
              <w:jc w:val="center"/>
              <w:rPr>
                <w:sz w:val="22"/>
                <w:lang w:val="en-GB"/>
              </w:rPr>
            </w:pPr>
            <w:r w:rsidRPr="003E3DFC">
              <w:rPr>
                <w:sz w:val="22"/>
                <w:lang w:val="en-GB"/>
              </w:rPr>
              <w:t>3.2</w:t>
            </w:r>
          </w:p>
        </w:tc>
      </w:tr>
      <w:tr w:rsidR="006C29E0" w:rsidRPr="003E3DFC" w14:paraId="6734B870" w14:textId="77777777" w:rsidTr="0066613D">
        <w:trPr>
          <w:trHeight w:val="366"/>
        </w:trPr>
        <w:tc>
          <w:tcPr>
            <w:tcW w:w="571" w:type="pct"/>
            <w:shd w:val="clear" w:color="auto" w:fill="auto"/>
            <w:tcMar>
              <w:top w:w="15" w:type="dxa"/>
              <w:left w:w="108" w:type="dxa"/>
              <w:bottom w:w="0" w:type="dxa"/>
              <w:right w:w="108" w:type="dxa"/>
            </w:tcMar>
            <w:vAlign w:val="center"/>
            <w:hideMark/>
          </w:tcPr>
          <w:p w14:paraId="24B95DB7" w14:textId="77777777" w:rsidR="006C29E0" w:rsidRPr="003E3DFC" w:rsidRDefault="006C29E0" w:rsidP="006C29E0">
            <w:pPr>
              <w:pStyle w:val="NoSpacing"/>
              <w:rPr>
                <w:b/>
                <w:sz w:val="22"/>
                <w:lang w:val="en-GB"/>
              </w:rPr>
            </w:pPr>
            <w:r w:rsidRPr="003E3DFC">
              <w:rPr>
                <w:b/>
                <w:sz w:val="22"/>
                <w:lang w:val="en-GB"/>
              </w:rPr>
              <w:t>Macedonia</w:t>
            </w:r>
          </w:p>
        </w:tc>
        <w:tc>
          <w:tcPr>
            <w:tcW w:w="492" w:type="pct"/>
            <w:shd w:val="clear" w:color="auto" w:fill="auto"/>
            <w:tcMar>
              <w:top w:w="15" w:type="dxa"/>
              <w:left w:w="108" w:type="dxa"/>
              <w:bottom w:w="0" w:type="dxa"/>
              <w:right w:w="108" w:type="dxa"/>
            </w:tcMar>
            <w:vAlign w:val="center"/>
            <w:hideMark/>
          </w:tcPr>
          <w:p w14:paraId="764CFCF6" w14:textId="77777777" w:rsidR="006C29E0" w:rsidRPr="003E3DFC" w:rsidRDefault="006C29E0" w:rsidP="006C29E0">
            <w:pPr>
              <w:pStyle w:val="NoSpacing"/>
              <w:jc w:val="center"/>
              <w:rPr>
                <w:sz w:val="22"/>
                <w:lang w:val="en-GB"/>
              </w:rPr>
            </w:pPr>
            <w:r w:rsidRPr="003E3DFC">
              <w:rPr>
                <w:sz w:val="22"/>
                <w:lang w:val="en-GB"/>
              </w:rPr>
              <w:t>45.3</w:t>
            </w:r>
          </w:p>
        </w:tc>
        <w:tc>
          <w:tcPr>
            <w:tcW w:w="492" w:type="pct"/>
            <w:shd w:val="clear" w:color="auto" w:fill="auto"/>
            <w:tcMar>
              <w:top w:w="15" w:type="dxa"/>
              <w:left w:w="108" w:type="dxa"/>
              <w:bottom w:w="0" w:type="dxa"/>
              <w:right w:w="108" w:type="dxa"/>
            </w:tcMar>
            <w:vAlign w:val="center"/>
            <w:hideMark/>
          </w:tcPr>
          <w:p w14:paraId="02914E26" w14:textId="77777777" w:rsidR="006C29E0" w:rsidRPr="003E3DFC" w:rsidRDefault="006C29E0" w:rsidP="006C29E0">
            <w:pPr>
              <w:pStyle w:val="NoSpacing"/>
              <w:jc w:val="center"/>
              <w:rPr>
                <w:sz w:val="22"/>
                <w:lang w:val="en-GB"/>
              </w:rPr>
            </w:pPr>
            <w:r w:rsidRPr="003E3DFC">
              <w:rPr>
                <w:sz w:val="22"/>
                <w:lang w:val="en-GB"/>
              </w:rPr>
              <w:t>38.4</w:t>
            </w:r>
          </w:p>
        </w:tc>
        <w:tc>
          <w:tcPr>
            <w:tcW w:w="492" w:type="pct"/>
            <w:shd w:val="clear" w:color="auto" w:fill="auto"/>
            <w:tcMar>
              <w:top w:w="15" w:type="dxa"/>
              <w:left w:w="108" w:type="dxa"/>
              <w:bottom w:w="0" w:type="dxa"/>
              <w:right w:w="108" w:type="dxa"/>
            </w:tcMar>
            <w:vAlign w:val="center"/>
            <w:hideMark/>
          </w:tcPr>
          <w:p w14:paraId="1B6FC71F" w14:textId="77777777" w:rsidR="006C29E0" w:rsidRPr="003E3DFC" w:rsidRDefault="006C29E0" w:rsidP="006C29E0">
            <w:pPr>
              <w:pStyle w:val="NoSpacing"/>
              <w:jc w:val="center"/>
              <w:rPr>
                <w:sz w:val="22"/>
                <w:lang w:val="en-GB"/>
              </w:rPr>
            </w:pPr>
            <w:r w:rsidRPr="003E3DFC">
              <w:rPr>
                <w:sz w:val="22"/>
                <w:lang w:val="en-GB"/>
              </w:rPr>
              <w:t>23.0</w:t>
            </w:r>
          </w:p>
        </w:tc>
        <w:tc>
          <w:tcPr>
            <w:tcW w:w="492" w:type="pct"/>
            <w:shd w:val="clear" w:color="auto" w:fill="auto"/>
            <w:tcMar>
              <w:top w:w="15" w:type="dxa"/>
              <w:left w:w="108" w:type="dxa"/>
              <w:bottom w:w="0" w:type="dxa"/>
              <w:right w:w="108" w:type="dxa"/>
            </w:tcMar>
            <w:vAlign w:val="center"/>
            <w:hideMark/>
          </w:tcPr>
          <w:p w14:paraId="2A36B666" w14:textId="77777777" w:rsidR="006C29E0" w:rsidRPr="003E3DFC" w:rsidRDefault="006C29E0" w:rsidP="006C29E0">
            <w:pPr>
              <w:pStyle w:val="NoSpacing"/>
              <w:jc w:val="center"/>
              <w:rPr>
                <w:sz w:val="22"/>
                <w:lang w:val="en-GB"/>
              </w:rPr>
            </w:pPr>
            <w:r w:rsidRPr="003E3DFC">
              <w:rPr>
                <w:sz w:val="22"/>
                <w:lang w:val="en-GB"/>
              </w:rPr>
              <w:t>32.9</w:t>
            </w:r>
          </w:p>
        </w:tc>
        <w:tc>
          <w:tcPr>
            <w:tcW w:w="492" w:type="pct"/>
            <w:shd w:val="clear" w:color="auto" w:fill="auto"/>
            <w:tcMar>
              <w:top w:w="15" w:type="dxa"/>
              <w:left w:w="108" w:type="dxa"/>
              <w:bottom w:w="0" w:type="dxa"/>
              <w:right w:w="108" w:type="dxa"/>
            </w:tcMar>
            <w:vAlign w:val="center"/>
            <w:hideMark/>
          </w:tcPr>
          <w:p w14:paraId="10003223" w14:textId="77777777" w:rsidR="006C29E0" w:rsidRPr="003E3DFC" w:rsidRDefault="006C29E0" w:rsidP="006C29E0">
            <w:pPr>
              <w:pStyle w:val="NoSpacing"/>
              <w:jc w:val="center"/>
              <w:rPr>
                <w:sz w:val="22"/>
                <w:lang w:val="en-GB"/>
              </w:rPr>
            </w:pPr>
            <w:r w:rsidRPr="003E3DFC">
              <w:rPr>
                <w:sz w:val="22"/>
                <w:lang w:val="en-GB"/>
              </w:rPr>
              <w:t>29.0</w:t>
            </w:r>
          </w:p>
        </w:tc>
        <w:tc>
          <w:tcPr>
            <w:tcW w:w="492" w:type="pct"/>
            <w:shd w:val="clear" w:color="auto" w:fill="auto"/>
            <w:tcMar>
              <w:top w:w="15" w:type="dxa"/>
              <w:left w:w="108" w:type="dxa"/>
              <w:bottom w:w="0" w:type="dxa"/>
              <w:right w:w="108" w:type="dxa"/>
            </w:tcMar>
            <w:vAlign w:val="center"/>
            <w:hideMark/>
          </w:tcPr>
          <w:p w14:paraId="72901C56" w14:textId="77777777" w:rsidR="006C29E0" w:rsidRPr="003E3DFC" w:rsidRDefault="006C29E0" w:rsidP="006C29E0">
            <w:pPr>
              <w:pStyle w:val="NoSpacing"/>
              <w:jc w:val="center"/>
              <w:rPr>
                <w:sz w:val="22"/>
                <w:lang w:val="en-GB"/>
              </w:rPr>
            </w:pPr>
            <w:r w:rsidRPr="003E3DFC">
              <w:rPr>
                <w:sz w:val="22"/>
                <w:lang w:val="en-GB"/>
              </w:rPr>
              <w:t>26.8</w:t>
            </w:r>
          </w:p>
        </w:tc>
        <w:tc>
          <w:tcPr>
            <w:tcW w:w="493" w:type="pct"/>
            <w:shd w:val="clear" w:color="auto" w:fill="auto"/>
            <w:tcMar>
              <w:top w:w="15" w:type="dxa"/>
              <w:left w:w="108" w:type="dxa"/>
              <w:bottom w:w="0" w:type="dxa"/>
              <w:right w:w="108" w:type="dxa"/>
            </w:tcMar>
            <w:vAlign w:val="center"/>
            <w:hideMark/>
          </w:tcPr>
          <w:p w14:paraId="1D9C1537" w14:textId="77777777" w:rsidR="006C29E0" w:rsidRPr="003E3DFC" w:rsidRDefault="006C29E0" w:rsidP="006C29E0">
            <w:pPr>
              <w:pStyle w:val="NoSpacing"/>
              <w:jc w:val="center"/>
              <w:rPr>
                <w:sz w:val="22"/>
                <w:lang w:val="en-GB"/>
              </w:rPr>
            </w:pPr>
            <w:r w:rsidRPr="003E3DFC">
              <w:rPr>
                <w:sz w:val="22"/>
                <w:lang w:val="en-GB"/>
              </w:rPr>
              <w:t>-12.4</w:t>
            </w:r>
          </w:p>
        </w:tc>
        <w:tc>
          <w:tcPr>
            <w:tcW w:w="493" w:type="pct"/>
            <w:shd w:val="clear" w:color="auto" w:fill="auto"/>
            <w:tcMar>
              <w:top w:w="15" w:type="dxa"/>
              <w:left w:w="108" w:type="dxa"/>
              <w:bottom w:w="0" w:type="dxa"/>
              <w:right w:w="108" w:type="dxa"/>
            </w:tcMar>
            <w:vAlign w:val="center"/>
            <w:hideMark/>
          </w:tcPr>
          <w:p w14:paraId="07E6B022" w14:textId="77777777" w:rsidR="006C29E0" w:rsidRPr="003E3DFC" w:rsidRDefault="006C29E0" w:rsidP="006C29E0">
            <w:pPr>
              <w:pStyle w:val="NoSpacing"/>
              <w:jc w:val="center"/>
              <w:rPr>
                <w:sz w:val="22"/>
                <w:lang w:val="en-GB"/>
              </w:rPr>
            </w:pPr>
            <w:r w:rsidRPr="003E3DFC">
              <w:rPr>
                <w:sz w:val="22"/>
                <w:lang w:val="en-GB"/>
              </w:rPr>
              <w:t>-9.4</w:t>
            </w:r>
          </w:p>
        </w:tc>
        <w:tc>
          <w:tcPr>
            <w:tcW w:w="493" w:type="pct"/>
            <w:shd w:val="clear" w:color="auto" w:fill="auto"/>
            <w:tcMar>
              <w:top w:w="15" w:type="dxa"/>
              <w:left w:w="108" w:type="dxa"/>
              <w:bottom w:w="0" w:type="dxa"/>
              <w:right w:w="108" w:type="dxa"/>
            </w:tcMar>
            <w:vAlign w:val="center"/>
            <w:hideMark/>
          </w:tcPr>
          <w:p w14:paraId="37FFB0F7" w14:textId="77777777" w:rsidR="006C29E0" w:rsidRPr="003E3DFC" w:rsidRDefault="006C29E0" w:rsidP="006C29E0">
            <w:pPr>
              <w:pStyle w:val="NoSpacing"/>
              <w:jc w:val="center"/>
              <w:rPr>
                <w:sz w:val="22"/>
                <w:lang w:val="en-GB"/>
              </w:rPr>
            </w:pPr>
            <w:r w:rsidRPr="003E3DFC">
              <w:rPr>
                <w:sz w:val="22"/>
                <w:lang w:val="en-GB"/>
              </w:rPr>
              <w:t>3.8</w:t>
            </w:r>
          </w:p>
        </w:tc>
      </w:tr>
    </w:tbl>
    <w:p w14:paraId="6C94902E" w14:textId="77777777" w:rsidR="006C29E0" w:rsidRPr="003E3DFC" w:rsidRDefault="006C29E0" w:rsidP="006C29E0">
      <w:pPr>
        <w:pStyle w:val="NoSpacing"/>
        <w:rPr>
          <w:lang w:val="en-GB"/>
        </w:rPr>
      </w:pPr>
      <w:r w:rsidRPr="003E3DFC">
        <w:rPr>
          <w:lang w:val="en-GB"/>
        </w:rPr>
        <w:t xml:space="preserve">Source: Author’s own work based on LFS data from the State Statistical Office of </w:t>
      </w:r>
      <w:r w:rsidR="00C30864" w:rsidRPr="003E3DFC">
        <w:rPr>
          <w:lang w:val="en-GB"/>
        </w:rPr>
        <w:t>R. of Macedonia</w:t>
      </w:r>
      <w:r w:rsidRPr="003E3DFC">
        <w:rPr>
          <w:lang w:val="en-GB"/>
        </w:rPr>
        <w:t xml:space="preserve"> and Eurostat</w:t>
      </w:r>
    </w:p>
    <w:p w14:paraId="1A6C1958" w14:textId="77777777" w:rsidR="00711010" w:rsidRPr="003E3DFC" w:rsidRDefault="00711010" w:rsidP="0088150B">
      <w:pPr>
        <w:pStyle w:val="NoSpacing"/>
        <w:rPr>
          <w:lang w:val="en-GB"/>
        </w:rPr>
      </w:pPr>
    </w:p>
    <w:p w14:paraId="4014F659" w14:textId="6B4B26B5" w:rsidR="00304ED4" w:rsidRPr="003E3DFC" w:rsidRDefault="00711010" w:rsidP="0088150B">
      <w:pPr>
        <w:pStyle w:val="NoSpacing"/>
        <w:rPr>
          <w:lang w:val="en-GB"/>
        </w:rPr>
      </w:pPr>
      <w:r w:rsidRPr="003E3DFC">
        <w:rPr>
          <w:lang w:val="en-GB"/>
        </w:rPr>
        <w:t xml:space="preserve">According to data </w:t>
      </w:r>
      <w:r w:rsidR="00D8497D" w:rsidRPr="003E3DFC">
        <w:rPr>
          <w:lang w:val="en-GB"/>
        </w:rPr>
        <w:t xml:space="preserve">presented in table </w:t>
      </w:r>
      <w:r w:rsidR="00B80334" w:rsidRPr="003E3DFC">
        <w:rPr>
          <w:lang w:val="en-GB"/>
        </w:rPr>
        <w:t>9</w:t>
      </w:r>
      <w:r w:rsidRPr="003E3DFC">
        <w:rPr>
          <w:lang w:val="en-GB"/>
        </w:rPr>
        <w:t xml:space="preserve">, the number of female unemployment is highest among urban women </w:t>
      </w:r>
      <w:r w:rsidR="00D8497D" w:rsidRPr="003E3DFC">
        <w:rPr>
          <w:lang w:val="en-GB"/>
        </w:rPr>
        <w:t>and more than t</w:t>
      </w:r>
      <w:r w:rsidR="00470E17" w:rsidRPr="003E3DFC">
        <w:rPr>
          <w:lang w:val="en-GB"/>
        </w:rPr>
        <w:t xml:space="preserve">wo </w:t>
      </w:r>
      <w:r w:rsidR="00D8497D" w:rsidRPr="003E3DFC">
        <w:rPr>
          <w:lang w:val="en-GB"/>
        </w:rPr>
        <w:t>times higher than registered rural female unemployed</w:t>
      </w:r>
      <w:r w:rsidRPr="003E3DFC">
        <w:rPr>
          <w:lang w:val="en-GB"/>
        </w:rPr>
        <w:t>. This</w:t>
      </w:r>
      <w:r w:rsidR="00A80198" w:rsidRPr="003E3DFC">
        <w:rPr>
          <w:lang w:val="en-GB"/>
        </w:rPr>
        <w:t xml:space="preserve"> is</w:t>
      </w:r>
      <w:r w:rsidRPr="003E3DFC">
        <w:rPr>
          <w:lang w:val="en-GB"/>
        </w:rPr>
        <w:t xml:space="preserve"> due </w:t>
      </w:r>
      <w:r w:rsidR="005C46E9" w:rsidRPr="003E3DFC">
        <w:rPr>
          <w:lang w:val="en-GB"/>
        </w:rPr>
        <w:t>to</w:t>
      </w:r>
      <w:r w:rsidR="00F12F38" w:rsidRPr="003E3DFC">
        <w:rPr>
          <w:lang w:val="en-GB"/>
        </w:rPr>
        <w:t xml:space="preserve"> particular </w:t>
      </w:r>
      <w:r w:rsidRPr="003E3DFC">
        <w:rPr>
          <w:lang w:val="en-GB"/>
        </w:rPr>
        <w:t>low activity rates and high inactivity rates among rural females (</w:t>
      </w:r>
      <w:r w:rsidR="00F12F38" w:rsidRPr="003E3DFC">
        <w:rPr>
          <w:lang w:val="en-GB"/>
        </w:rPr>
        <w:t>World Bank, 2008</w:t>
      </w:r>
      <w:r w:rsidRPr="003E3DFC">
        <w:rPr>
          <w:lang w:val="en-GB"/>
        </w:rPr>
        <w:t>).</w:t>
      </w:r>
      <w:r w:rsidR="00304ED4" w:rsidRPr="003E3DFC">
        <w:rPr>
          <w:lang w:val="en-GB"/>
        </w:rPr>
        <w:t xml:space="preserve"> </w:t>
      </w:r>
      <w:r w:rsidR="00C80091" w:rsidRPr="003E3DFC">
        <w:rPr>
          <w:lang w:val="en-GB"/>
        </w:rPr>
        <w:t>However,</w:t>
      </w:r>
      <w:r w:rsidR="00D8497D" w:rsidRPr="003E3DFC">
        <w:rPr>
          <w:lang w:val="en-GB"/>
        </w:rPr>
        <w:t xml:space="preserve"> a positive trend is </w:t>
      </w:r>
      <w:r w:rsidR="00A01B61" w:rsidRPr="003E3DFC">
        <w:rPr>
          <w:lang w:val="en-GB"/>
        </w:rPr>
        <w:t>observed</w:t>
      </w:r>
      <w:r w:rsidR="00D8497D" w:rsidRPr="003E3DFC">
        <w:rPr>
          <w:lang w:val="en-GB"/>
        </w:rPr>
        <w:t xml:space="preserve">. </w:t>
      </w:r>
      <w:r w:rsidRPr="003E3DFC">
        <w:rPr>
          <w:lang w:val="en-GB"/>
        </w:rPr>
        <w:t>The n</w:t>
      </w:r>
      <w:r w:rsidR="00304ED4" w:rsidRPr="003E3DFC">
        <w:rPr>
          <w:lang w:val="en-GB"/>
        </w:rPr>
        <w:t xml:space="preserve">umber of urban female unemployment </w:t>
      </w:r>
      <w:r w:rsidRPr="003E3DFC">
        <w:rPr>
          <w:lang w:val="en-GB"/>
        </w:rPr>
        <w:t>decreased by app. 9</w:t>
      </w:r>
      <w:r w:rsidR="00304ED4" w:rsidRPr="003E3DFC">
        <w:rPr>
          <w:lang w:val="en-GB"/>
        </w:rPr>
        <w:t>.800 perso</w:t>
      </w:r>
      <w:r w:rsidRPr="003E3DFC">
        <w:rPr>
          <w:lang w:val="en-GB"/>
        </w:rPr>
        <w:t>ns from 2008 to 2</w:t>
      </w:r>
      <w:r w:rsidR="00304ED4" w:rsidRPr="003E3DFC">
        <w:rPr>
          <w:lang w:val="en-GB"/>
        </w:rPr>
        <w:t>013, roughly 12%.</w:t>
      </w:r>
      <w:r w:rsidRPr="003E3DFC">
        <w:rPr>
          <w:lang w:val="en-GB"/>
        </w:rPr>
        <w:t xml:space="preserve"> While, the number of unemployed females in rural areas decreased</w:t>
      </w:r>
      <w:r w:rsidR="00304ED4" w:rsidRPr="003E3DFC">
        <w:rPr>
          <w:lang w:val="en-GB"/>
        </w:rPr>
        <w:t xml:space="preserve"> by 3.7% in the same period (app. 1400 person</w:t>
      </w:r>
      <w:r w:rsidRPr="003E3DFC">
        <w:rPr>
          <w:lang w:val="en-GB"/>
        </w:rPr>
        <w:t>s</w:t>
      </w:r>
      <w:r w:rsidR="00304ED4" w:rsidRPr="003E3DFC">
        <w:rPr>
          <w:lang w:val="en-GB"/>
        </w:rPr>
        <w:t>).</w:t>
      </w:r>
      <w:r w:rsidR="00D8497D" w:rsidRPr="003E3DFC">
        <w:rPr>
          <w:lang w:val="en-GB"/>
        </w:rPr>
        <w:t xml:space="preserve"> The largest decrease in registered un</w:t>
      </w:r>
      <w:r w:rsidR="00BD64F3" w:rsidRPr="003E3DFC">
        <w:rPr>
          <w:lang w:val="en-GB"/>
        </w:rPr>
        <w:t>employed females in urban areas</w:t>
      </w:r>
      <w:r w:rsidR="00D8497D" w:rsidRPr="003E3DFC">
        <w:rPr>
          <w:lang w:val="en-GB"/>
        </w:rPr>
        <w:t xml:space="preserve"> is noted among females with primary and lower secondary education</w:t>
      </w:r>
      <w:r w:rsidR="00BD64F3" w:rsidRPr="003E3DFC">
        <w:rPr>
          <w:lang w:val="en-GB"/>
        </w:rPr>
        <w:t xml:space="preserve"> (in absolute terms)</w:t>
      </w:r>
      <w:r w:rsidR="00D8497D" w:rsidRPr="003E3DFC">
        <w:rPr>
          <w:lang w:val="en-GB"/>
        </w:rPr>
        <w:t>, which dropped from 19545 to 11900 (decrease of 7645)</w:t>
      </w:r>
      <w:r w:rsidR="00875E9C" w:rsidRPr="003E3DFC">
        <w:rPr>
          <w:lang w:val="en-GB"/>
        </w:rPr>
        <w:t>. To which extend this decrease is related to these women finding employment is subject to further research</w:t>
      </w:r>
      <w:r w:rsidR="00D8497D" w:rsidRPr="003E3DFC">
        <w:rPr>
          <w:lang w:val="en-GB"/>
        </w:rPr>
        <w:t xml:space="preserve">. </w:t>
      </w:r>
      <w:r w:rsidR="00FC33BA" w:rsidRPr="003E3DFC">
        <w:rPr>
          <w:lang w:val="en-GB"/>
        </w:rPr>
        <w:t>Noteworthy in this context is</w:t>
      </w:r>
      <w:r w:rsidR="00B3116B" w:rsidRPr="003E3DFC">
        <w:rPr>
          <w:lang w:val="en-GB"/>
        </w:rPr>
        <w:t xml:space="preserve"> however</w:t>
      </w:r>
      <w:r w:rsidR="00FC33BA" w:rsidRPr="003E3DFC">
        <w:rPr>
          <w:lang w:val="en-GB"/>
        </w:rPr>
        <w:t xml:space="preserve"> that </w:t>
      </w:r>
      <w:r w:rsidR="00A80198" w:rsidRPr="003E3DFC">
        <w:rPr>
          <w:lang w:val="en-GB"/>
        </w:rPr>
        <w:t>o</w:t>
      </w:r>
      <w:r w:rsidR="00FC33BA" w:rsidRPr="003E3DFC">
        <w:rPr>
          <w:lang w:val="en-GB"/>
        </w:rPr>
        <w:t>pposite to females with lower levels of educations, females with university level education have both in the case of rural and urban women experienced an increase in numbers with registered unemployed rural women with university education going from 2743 in 2008 to 7873</w:t>
      </w:r>
      <w:r w:rsidR="00B3116B" w:rsidRPr="003E3DFC">
        <w:rPr>
          <w:lang w:val="en-GB"/>
        </w:rPr>
        <w:t>. This is</w:t>
      </w:r>
      <w:r w:rsidR="00FC33BA" w:rsidRPr="003E3DFC">
        <w:rPr>
          <w:lang w:val="en-GB"/>
        </w:rPr>
        <w:t xml:space="preserve"> an increase of more than 250%</w:t>
      </w:r>
      <w:r w:rsidR="00B3116B" w:rsidRPr="003E3DFC">
        <w:rPr>
          <w:lang w:val="en-GB"/>
        </w:rPr>
        <w:t>. R</w:t>
      </w:r>
      <w:r w:rsidR="00FC33BA" w:rsidRPr="003E3DFC">
        <w:rPr>
          <w:lang w:val="en-GB"/>
        </w:rPr>
        <w:t xml:space="preserve">egistered unemployed urban women with university education </w:t>
      </w:r>
      <w:r w:rsidR="00B3116B" w:rsidRPr="003E3DFC">
        <w:rPr>
          <w:lang w:val="en-GB"/>
        </w:rPr>
        <w:t>has increased likewise notably</w:t>
      </w:r>
      <w:r w:rsidR="00FC33BA" w:rsidRPr="003E3DFC">
        <w:rPr>
          <w:lang w:val="en-GB"/>
        </w:rPr>
        <w:t xml:space="preserve"> from 10599 in 2006 to 18030 in 2013</w:t>
      </w:r>
      <w:r w:rsidR="00875E9C" w:rsidRPr="003E3DFC">
        <w:rPr>
          <w:lang w:val="en-GB"/>
        </w:rPr>
        <w:t>.</w:t>
      </w:r>
    </w:p>
    <w:p w14:paraId="7F3B82B4" w14:textId="77777777" w:rsidR="00304ED4" w:rsidRPr="003E3DFC" w:rsidRDefault="00304ED4" w:rsidP="0088150B">
      <w:pPr>
        <w:pStyle w:val="NoSpacing"/>
        <w:rPr>
          <w:lang w:val="en-GB"/>
        </w:rPr>
      </w:pPr>
    </w:p>
    <w:p w14:paraId="29123372" w14:textId="586A5233" w:rsidR="00304ED4" w:rsidRPr="003E3DFC" w:rsidRDefault="00304ED4" w:rsidP="00304ED4">
      <w:pPr>
        <w:pStyle w:val="Caption"/>
        <w:rPr>
          <w:i w:val="0"/>
          <w:color w:val="auto"/>
          <w:sz w:val="24"/>
        </w:rPr>
      </w:pPr>
      <w:r w:rsidRPr="003E3DFC">
        <w:rPr>
          <w:i w:val="0"/>
          <w:color w:val="auto"/>
          <w:sz w:val="24"/>
        </w:rPr>
        <w:t xml:space="preserve">Table </w:t>
      </w:r>
      <w:r w:rsidRPr="003E3DFC">
        <w:rPr>
          <w:i w:val="0"/>
          <w:color w:val="auto"/>
          <w:sz w:val="24"/>
        </w:rPr>
        <w:fldChar w:fldCharType="begin"/>
      </w:r>
      <w:r w:rsidRPr="003E3DFC">
        <w:rPr>
          <w:i w:val="0"/>
          <w:color w:val="auto"/>
          <w:sz w:val="24"/>
        </w:rPr>
        <w:instrText xml:space="preserve"> SEQ Table \* ARABIC </w:instrText>
      </w:r>
      <w:r w:rsidRPr="003E3DFC">
        <w:rPr>
          <w:i w:val="0"/>
          <w:color w:val="auto"/>
          <w:sz w:val="24"/>
        </w:rPr>
        <w:fldChar w:fldCharType="separate"/>
      </w:r>
      <w:r w:rsidR="00F625BB" w:rsidRPr="003E3DFC">
        <w:rPr>
          <w:i w:val="0"/>
          <w:noProof/>
          <w:color w:val="auto"/>
          <w:sz w:val="24"/>
        </w:rPr>
        <w:t>9</w:t>
      </w:r>
      <w:r w:rsidRPr="003E3DFC">
        <w:rPr>
          <w:i w:val="0"/>
          <w:color w:val="auto"/>
          <w:sz w:val="24"/>
        </w:rPr>
        <w:fldChar w:fldCharType="end"/>
      </w:r>
      <w:r w:rsidRPr="003E3DFC">
        <w:rPr>
          <w:i w:val="0"/>
          <w:color w:val="auto"/>
          <w:sz w:val="24"/>
        </w:rPr>
        <w:t xml:space="preserve">: </w:t>
      </w:r>
      <w:r w:rsidR="003F1A12" w:rsidRPr="003E3DFC">
        <w:rPr>
          <w:i w:val="0"/>
          <w:color w:val="auto"/>
          <w:sz w:val="24"/>
        </w:rPr>
        <w:t>Number of unemployed f</w:t>
      </w:r>
      <w:r w:rsidRPr="003E3DFC">
        <w:rPr>
          <w:i w:val="0"/>
          <w:color w:val="auto"/>
          <w:sz w:val="24"/>
        </w:rPr>
        <w:t xml:space="preserve">emales in </w:t>
      </w:r>
      <w:r w:rsidR="00C30864" w:rsidRPr="003E3DFC">
        <w:rPr>
          <w:i w:val="0"/>
          <w:color w:val="auto"/>
          <w:sz w:val="24"/>
        </w:rPr>
        <w:t>R. of Macedonia</w:t>
      </w:r>
      <w:r w:rsidR="003F1A12" w:rsidRPr="003E3DFC">
        <w:rPr>
          <w:i w:val="0"/>
          <w:color w:val="auto"/>
          <w:sz w:val="24"/>
        </w:rPr>
        <w:t xml:space="preserve"> by educational a</w:t>
      </w:r>
      <w:r w:rsidRPr="003E3DFC">
        <w:rPr>
          <w:i w:val="0"/>
          <w:color w:val="auto"/>
          <w:sz w:val="24"/>
        </w:rPr>
        <w:t>ttainmen</w:t>
      </w:r>
      <w:r w:rsidR="003F1A12" w:rsidRPr="003E3DFC">
        <w:rPr>
          <w:i w:val="0"/>
          <w:color w:val="auto"/>
          <w:sz w:val="24"/>
        </w:rPr>
        <w:t>t, rural vs. u</w:t>
      </w:r>
      <w:r w:rsidR="00A80198" w:rsidRPr="003E3DFC">
        <w:rPr>
          <w:i w:val="0"/>
          <w:color w:val="auto"/>
          <w:sz w:val="24"/>
        </w:rPr>
        <w:t>rban, 2008 &amp; 2013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4310"/>
        <w:gridCol w:w="1257"/>
        <w:gridCol w:w="1257"/>
        <w:gridCol w:w="1257"/>
        <w:gridCol w:w="1259"/>
      </w:tblGrid>
      <w:tr w:rsidR="00304ED4" w:rsidRPr="003E3DFC" w14:paraId="6FFD3741" w14:textId="77777777" w:rsidTr="007F0627">
        <w:trPr>
          <w:trHeight w:val="288"/>
        </w:trPr>
        <w:tc>
          <w:tcPr>
            <w:tcW w:w="2307" w:type="pct"/>
            <w:vMerge w:val="restart"/>
            <w:shd w:val="clear" w:color="auto" w:fill="auto"/>
            <w:tcMar>
              <w:top w:w="15" w:type="dxa"/>
              <w:left w:w="15" w:type="dxa"/>
              <w:bottom w:w="0" w:type="dxa"/>
              <w:right w:w="15" w:type="dxa"/>
            </w:tcMar>
            <w:vAlign w:val="center"/>
            <w:hideMark/>
          </w:tcPr>
          <w:p w14:paraId="3A4C603A" w14:textId="77777777" w:rsidR="00304ED4" w:rsidRPr="003E3DFC" w:rsidRDefault="00304ED4" w:rsidP="00D71414">
            <w:pPr>
              <w:pStyle w:val="NoSpacing"/>
              <w:jc w:val="left"/>
              <w:rPr>
                <w:b/>
                <w:szCs w:val="20"/>
                <w:lang w:val="en-GB"/>
              </w:rPr>
            </w:pPr>
            <w:r w:rsidRPr="003E3DFC">
              <w:rPr>
                <w:b/>
                <w:szCs w:val="20"/>
                <w:lang w:val="en-GB"/>
              </w:rPr>
              <w:t>Level of Education</w:t>
            </w:r>
          </w:p>
        </w:tc>
        <w:tc>
          <w:tcPr>
            <w:tcW w:w="1346" w:type="pct"/>
            <w:gridSpan w:val="2"/>
            <w:shd w:val="clear" w:color="auto" w:fill="auto"/>
            <w:tcMar>
              <w:top w:w="15" w:type="dxa"/>
              <w:left w:w="15" w:type="dxa"/>
              <w:bottom w:w="0" w:type="dxa"/>
              <w:right w:w="15" w:type="dxa"/>
            </w:tcMar>
            <w:vAlign w:val="center"/>
            <w:hideMark/>
          </w:tcPr>
          <w:p w14:paraId="1F14534F" w14:textId="77777777" w:rsidR="00304ED4" w:rsidRPr="003E3DFC" w:rsidRDefault="00304ED4" w:rsidP="00D71414">
            <w:pPr>
              <w:pStyle w:val="NoSpacing"/>
              <w:jc w:val="center"/>
              <w:rPr>
                <w:b/>
                <w:szCs w:val="20"/>
                <w:lang w:val="en-GB"/>
              </w:rPr>
            </w:pPr>
            <w:r w:rsidRPr="003E3DFC">
              <w:rPr>
                <w:b/>
                <w:szCs w:val="20"/>
                <w:lang w:val="en-GB"/>
              </w:rPr>
              <w:t>2008</w:t>
            </w:r>
          </w:p>
        </w:tc>
        <w:tc>
          <w:tcPr>
            <w:tcW w:w="1347" w:type="pct"/>
            <w:gridSpan w:val="2"/>
            <w:shd w:val="clear" w:color="auto" w:fill="auto"/>
            <w:tcMar>
              <w:top w:w="15" w:type="dxa"/>
              <w:left w:w="15" w:type="dxa"/>
              <w:bottom w:w="0" w:type="dxa"/>
              <w:right w:w="15" w:type="dxa"/>
            </w:tcMar>
            <w:vAlign w:val="center"/>
            <w:hideMark/>
          </w:tcPr>
          <w:p w14:paraId="69CCC70D" w14:textId="77777777" w:rsidR="00304ED4" w:rsidRPr="003E3DFC" w:rsidRDefault="00304ED4" w:rsidP="00D71414">
            <w:pPr>
              <w:pStyle w:val="NoSpacing"/>
              <w:jc w:val="center"/>
              <w:rPr>
                <w:b/>
                <w:szCs w:val="20"/>
                <w:lang w:val="en-GB"/>
              </w:rPr>
            </w:pPr>
            <w:r w:rsidRPr="003E3DFC">
              <w:rPr>
                <w:b/>
                <w:szCs w:val="20"/>
                <w:lang w:val="en-GB"/>
              </w:rPr>
              <w:t>2013</w:t>
            </w:r>
          </w:p>
        </w:tc>
      </w:tr>
      <w:tr w:rsidR="00304ED4" w:rsidRPr="003E3DFC" w14:paraId="2269AE2A" w14:textId="77777777" w:rsidTr="007F0627">
        <w:trPr>
          <w:trHeight w:val="288"/>
        </w:trPr>
        <w:tc>
          <w:tcPr>
            <w:tcW w:w="2307" w:type="pct"/>
            <w:vMerge/>
            <w:shd w:val="clear" w:color="auto" w:fill="auto"/>
            <w:vAlign w:val="center"/>
            <w:hideMark/>
          </w:tcPr>
          <w:p w14:paraId="603DAA47" w14:textId="77777777" w:rsidR="00304ED4" w:rsidRPr="003E3DFC" w:rsidRDefault="00304ED4" w:rsidP="00D71414">
            <w:pPr>
              <w:pStyle w:val="NoSpacing"/>
              <w:jc w:val="left"/>
              <w:rPr>
                <w:b/>
                <w:szCs w:val="20"/>
                <w:lang w:val="en-GB"/>
              </w:rPr>
            </w:pPr>
          </w:p>
        </w:tc>
        <w:tc>
          <w:tcPr>
            <w:tcW w:w="673" w:type="pct"/>
            <w:shd w:val="clear" w:color="auto" w:fill="auto"/>
            <w:tcMar>
              <w:top w:w="15" w:type="dxa"/>
              <w:left w:w="15" w:type="dxa"/>
              <w:bottom w:w="0" w:type="dxa"/>
              <w:right w:w="15" w:type="dxa"/>
            </w:tcMar>
            <w:vAlign w:val="center"/>
            <w:hideMark/>
          </w:tcPr>
          <w:p w14:paraId="38BA54C3" w14:textId="77777777" w:rsidR="00304ED4" w:rsidRPr="003E3DFC" w:rsidRDefault="00304ED4" w:rsidP="00D71414">
            <w:pPr>
              <w:pStyle w:val="NoSpacing"/>
              <w:jc w:val="center"/>
              <w:rPr>
                <w:b/>
                <w:szCs w:val="20"/>
                <w:lang w:val="en-GB"/>
              </w:rPr>
            </w:pPr>
            <w:r w:rsidRPr="003E3DFC">
              <w:rPr>
                <w:b/>
                <w:bCs/>
                <w:szCs w:val="20"/>
                <w:lang w:val="en-GB"/>
              </w:rPr>
              <w:t>Rural</w:t>
            </w:r>
          </w:p>
        </w:tc>
        <w:tc>
          <w:tcPr>
            <w:tcW w:w="673" w:type="pct"/>
            <w:shd w:val="clear" w:color="auto" w:fill="auto"/>
            <w:tcMar>
              <w:top w:w="15" w:type="dxa"/>
              <w:left w:w="15" w:type="dxa"/>
              <w:bottom w:w="0" w:type="dxa"/>
              <w:right w:w="15" w:type="dxa"/>
            </w:tcMar>
            <w:vAlign w:val="center"/>
            <w:hideMark/>
          </w:tcPr>
          <w:p w14:paraId="5F52970D" w14:textId="77777777" w:rsidR="00304ED4" w:rsidRPr="003E3DFC" w:rsidRDefault="00304ED4" w:rsidP="00D71414">
            <w:pPr>
              <w:pStyle w:val="NoSpacing"/>
              <w:jc w:val="center"/>
              <w:rPr>
                <w:b/>
                <w:szCs w:val="20"/>
                <w:lang w:val="en-GB"/>
              </w:rPr>
            </w:pPr>
            <w:r w:rsidRPr="003E3DFC">
              <w:rPr>
                <w:b/>
                <w:bCs/>
                <w:szCs w:val="20"/>
                <w:lang w:val="en-GB"/>
              </w:rPr>
              <w:t>Urban</w:t>
            </w:r>
          </w:p>
        </w:tc>
        <w:tc>
          <w:tcPr>
            <w:tcW w:w="673" w:type="pct"/>
            <w:shd w:val="clear" w:color="auto" w:fill="auto"/>
            <w:tcMar>
              <w:top w:w="15" w:type="dxa"/>
              <w:left w:w="15" w:type="dxa"/>
              <w:bottom w:w="0" w:type="dxa"/>
              <w:right w:w="15" w:type="dxa"/>
            </w:tcMar>
            <w:vAlign w:val="center"/>
            <w:hideMark/>
          </w:tcPr>
          <w:p w14:paraId="7E79C23C" w14:textId="77777777" w:rsidR="00304ED4" w:rsidRPr="003E3DFC" w:rsidRDefault="00304ED4" w:rsidP="00D71414">
            <w:pPr>
              <w:pStyle w:val="NoSpacing"/>
              <w:jc w:val="center"/>
              <w:rPr>
                <w:b/>
                <w:szCs w:val="20"/>
                <w:lang w:val="en-GB"/>
              </w:rPr>
            </w:pPr>
            <w:r w:rsidRPr="003E3DFC">
              <w:rPr>
                <w:b/>
                <w:bCs/>
                <w:szCs w:val="20"/>
                <w:lang w:val="en-GB"/>
              </w:rPr>
              <w:t>Rural</w:t>
            </w:r>
          </w:p>
        </w:tc>
        <w:tc>
          <w:tcPr>
            <w:tcW w:w="674" w:type="pct"/>
            <w:shd w:val="clear" w:color="auto" w:fill="auto"/>
            <w:tcMar>
              <w:top w:w="15" w:type="dxa"/>
              <w:left w:w="15" w:type="dxa"/>
              <w:bottom w:w="0" w:type="dxa"/>
              <w:right w:w="15" w:type="dxa"/>
            </w:tcMar>
            <w:vAlign w:val="center"/>
            <w:hideMark/>
          </w:tcPr>
          <w:p w14:paraId="201D62F2" w14:textId="77777777" w:rsidR="00304ED4" w:rsidRPr="003E3DFC" w:rsidRDefault="00304ED4" w:rsidP="00D71414">
            <w:pPr>
              <w:pStyle w:val="NoSpacing"/>
              <w:jc w:val="center"/>
              <w:rPr>
                <w:b/>
                <w:szCs w:val="20"/>
                <w:lang w:val="en-GB"/>
              </w:rPr>
            </w:pPr>
            <w:r w:rsidRPr="003E3DFC">
              <w:rPr>
                <w:b/>
                <w:bCs/>
                <w:szCs w:val="20"/>
                <w:lang w:val="en-GB"/>
              </w:rPr>
              <w:t>Urban</w:t>
            </w:r>
          </w:p>
        </w:tc>
      </w:tr>
      <w:tr w:rsidR="00304ED4" w:rsidRPr="003E3DFC" w14:paraId="265A9632" w14:textId="77777777" w:rsidTr="007F0627">
        <w:trPr>
          <w:trHeight w:val="288"/>
        </w:trPr>
        <w:tc>
          <w:tcPr>
            <w:tcW w:w="2307" w:type="pct"/>
            <w:shd w:val="clear" w:color="auto" w:fill="auto"/>
            <w:tcMar>
              <w:top w:w="15" w:type="dxa"/>
              <w:left w:w="15" w:type="dxa"/>
              <w:bottom w:w="0" w:type="dxa"/>
              <w:right w:w="15" w:type="dxa"/>
            </w:tcMar>
            <w:vAlign w:val="center"/>
            <w:hideMark/>
          </w:tcPr>
          <w:p w14:paraId="4B4B4957" w14:textId="77777777" w:rsidR="00304ED4" w:rsidRPr="003E3DFC" w:rsidRDefault="00304ED4" w:rsidP="00D71414">
            <w:pPr>
              <w:pStyle w:val="NoSpacing"/>
              <w:jc w:val="left"/>
              <w:rPr>
                <w:b/>
                <w:szCs w:val="20"/>
                <w:lang w:val="en-GB"/>
              </w:rPr>
            </w:pPr>
            <w:r w:rsidRPr="003E3DFC">
              <w:rPr>
                <w:b/>
                <w:szCs w:val="20"/>
                <w:lang w:val="en-GB"/>
              </w:rPr>
              <w:t>Total</w:t>
            </w:r>
          </w:p>
        </w:tc>
        <w:tc>
          <w:tcPr>
            <w:tcW w:w="673" w:type="pct"/>
            <w:shd w:val="clear" w:color="auto" w:fill="auto"/>
            <w:tcMar>
              <w:top w:w="15" w:type="dxa"/>
              <w:left w:w="15" w:type="dxa"/>
              <w:bottom w:w="0" w:type="dxa"/>
              <w:right w:w="15" w:type="dxa"/>
            </w:tcMar>
            <w:vAlign w:val="center"/>
            <w:hideMark/>
          </w:tcPr>
          <w:p w14:paraId="22495E68" w14:textId="77777777" w:rsidR="00304ED4" w:rsidRPr="003E3DFC" w:rsidRDefault="00304ED4" w:rsidP="00D71414">
            <w:pPr>
              <w:pStyle w:val="NoSpacing"/>
              <w:jc w:val="center"/>
              <w:rPr>
                <w:szCs w:val="20"/>
                <w:lang w:val="en-GB"/>
              </w:rPr>
            </w:pPr>
            <w:r w:rsidRPr="003E3DFC">
              <w:rPr>
                <w:szCs w:val="20"/>
                <w:lang w:val="en-GB"/>
              </w:rPr>
              <w:t>38 686</w:t>
            </w:r>
          </w:p>
        </w:tc>
        <w:tc>
          <w:tcPr>
            <w:tcW w:w="673" w:type="pct"/>
            <w:shd w:val="clear" w:color="auto" w:fill="auto"/>
            <w:tcMar>
              <w:top w:w="15" w:type="dxa"/>
              <w:left w:w="15" w:type="dxa"/>
              <w:bottom w:w="0" w:type="dxa"/>
              <w:right w:w="15" w:type="dxa"/>
            </w:tcMar>
            <w:vAlign w:val="center"/>
            <w:hideMark/>
          </w:tcPr>
          <w:p w14:paraId="73B7806A" w14:textId="77777777" w:rsidR="00304ED4" w:rsidRPr="003E3DFC" w:rsidRDefault="00304ED4" w:rsidP="00D71414">
            <w:pPr>
              <w:pStyle w:val="NoSpacing"/>
              <w:jc w:val="center"/>
              <w:rPr>
                <w:szCs w:val="20"/>
                <w:lang w:val="en-GB"/>
              </w:rPr>
            </w:pPr>
            <w:r w:rsidRPr="003E3DFC">
              <w:rPr>
                <w:szCs w:val="20"/>
                <w:lang w:val="en-GB"/>
              </w:rPr>
              <w:t>83 501</w:t>
            </w:r>
          </w:p>
        </w:tc>
        <w:tc>
          <w:tcPr>
            <w:tcW w:w="673" w:type="pct"/>
            <w:shd w:val="clear" w:color="auto" w:fill="auto"/>
            <w:tcMar>
              <w:top w:w="15" w:type="dxa"/>
              <w:left w:w="15" w:type="dxa"/>
              <w:bottom w:w="0" w:type="dxa"/>
              <w:right w:w="15" w:type="dxa"/>
            </w:tcMar>
            <w:vAlign w:val="center"/>
            <w:hideMark/>
          </w:tcPr>
          <w:p w14:paraId="61C64B08" w14:textId="77777777" w:rsidR="00304ED4" w:rsidRPr="003E3DFC" w:rsidRDefault="00304ED4" w:rsidP="00D71414">
            <w:pPr>
              <w:pStyle w:val="NoSpacing"/>
              <w:jc w:val="center"/>
              <w:rPr>
                <w:szCs w:val="20"/>
                <w:lang w:val="en-GB"/>
              </w:rPr>
            </w:pPr>
            <w:r w:rsidRPr="003E3DFC">
              <w:rPr>
                <w:szCs w:val="20"/>
                <w:lang w:val="en-GB"/>
              </w:rPr>
              <w:t>37 260</w:t>
            </w:r>
          </w:p>
        </w:tc>
        <w:tc>
          <w:tcPr>
            <w:tcW w:w="674" w:type="pct"/>
            <w:shd w:val="clear" w:color="auto" w:fill="auto"/>
            <w:tcMar>
              <w:top w:w="15" w:type="dxa"/>
              <w:left w:w="15" w:type="dxa"/>
              <w:bottom w:w="0" w:type="dxa"/>
              <w:right w:w="15" w:type="dxa"/>
            </w:tcMar>
            <w:vAlign w:val="center"/>
            <w:hideMark/>
          </w:tcPr>
          <w:p w14:paraId="0F395ABC" w14:textId="77777777" w:rsidR="00304ED4" w:rsidRPr="003E3DFC" w:rsidRDefault="00304ED4" w:rsidP="00D71414">
            <w:pPr>
              <w:pStyle w:val="NoSpacing"/>
              <w:jc w:val="center"/>
              <w:rPr>
                <w:szCs w:val="20"/>
                <w:lang w:val="en-GB"/>
              </w:rPr>
            </w:pPr>
            <w:r w:rsidRPr="003E3DFC">
              <w:rPr>
                <w:szCs w:val="20"/>
                <w:lang w:val="en-GB"/>
              </w:rPr>
              <w:t>73 665</w:t>
            </w:r>
          </w:p>
        </w:tc>
      </w:tr>
      <w:tr w:rsidR="00304ED4" w:rsidRPr="003E3DFC" w14:paraId="62C26DB1" w14:textId="77777777" w:rsidTr="007F0627">
        <w:trPr>
          <w:trHeight w:val="288"/>
        </w:trPr>
        <w:tc>
          <w:tcPr>
            <w:tcW w:w="2307" w:type="pct"/>
            <w:shd w:val="clear" w:color="auto" w:fill="auto"/>
            <w:tcMar>
              <w:top w:w="15" w:type="dxa"/>
              <w:left w:w="15" w:type="dxa"/>
              <w:bottom w:w="0" w:type="dxa"/>
              <w:right w:w="15" w:type="dxa"/>
            </w:tcMar>
            <w:vAlign w:val="center"/>
            <w:hideMark/>
          </w:tcPr>
          <w:p w14:paraId="7C40C2F8" w14:textId="77777777" w:rsidR="00304ED4" w:rsidRPr="003E3DFC" w:rsidRDefault="00304ED4" w:rsidP="00D71414">
            <w:pPr>
              <w:pStyle w:val="NoSpacing"/>
              <w:jc w:val="left"/>
              <w:rPr>
                <w:b/>
                <w:szCs w:val="20"/>
                <w:lang w:val="en-GB"/>
              </w:rPr>
            </w:pPr>
            <w:r w:rsidRPr="003E3DFC">
              <w:rPr>
                <w:b/>
                <w:szCs w:val="20"/>
                <w:lang w:val="en-GB"/>
              </w:rPr>
              <w:t>Without education</w:t>
            </w:r>
          </w:p>
        </w:tc>
        <w:tc>
          <w:tcPr>
            <w:tcW w:w="673" w:type="pct"/>
            <w:shd w:val="clear" w:color="auto" w:fill="auto"/>
            <w:tcMar>
              <w:top w:w="15" w:type="dxa"/>
              <w:left w:w="15" w:type="dxa"/>
              <w:bottom w:w="0" w:type="dxa"/>
              <w:right w:w="15" w:type="dxa"/>
            </w:tcMar>
            <w:vAlign w:val="center"/>
            <w:hideMark/>
          </w:tcPr>
          <w:p w14:paraId="5B8496E2" w14:textId="77777777" w:rsidR="00304ED4" w:rsidRPr="003E3DFC" w:rsidRDefault="00304ED4" w:rsidP="00D71414">
            <w:pPr>
              <w:pStyle w:val="NoSpacing"/>
              <w:jc w:val="center"/>
              <w:rPr>
                <w:szCs w:val="20"/>
                <w:lang w:val="en-GB"/>
              </w:rPr>
            </w:pPr>
            <w:r w:rsidRPr="003E3DFC">
              <w:rPr>
                <w:szCs w:val="20"/>
                <w:lang w:val="en-GB"/>
              </w:rPr>
              <w:t>287</w:t>
            </w:r>
          </w:p>
        </w:tc>
        <w:tc>
          <w:tcPr>
            <w:tcW w:w="673" w:type="pct"/>
            <w:shd w:val="clear" w:color="auto" w:fill="auto"/>
            <w:tcMar>
              <w:top w:w="15" w:type="dxa"/>
              <w:left w:w="15" w:type="dxa"/>
              <w:bottom w:w="0" w:type="dxa"/>
              <w:right w:w="15" w:type="dxa"/>
            </w:tcMar>
            <w:vAlign w:val="center"/>
            <w:hideMark/>
          </w:tcPr>
          <w:p w14:paraId="089D406F" w14:textId="77777777" w:rsidR="00304ED4" w:rsidRPr="003E3DFC" w:rsidRDefault="00304ED4" w:rsidP="00D71414">
            <w:pPr>
              <w:pStyle w:val="NoSpacing"/>
              <w:jc w:val="center"/>
              <w:rPr>
                <w:szCs w:val="20"/>
                <w:lang w:val="en-GB"/>
              </w:rPr>
            </w:pPr>
            <w:r w:rsidRPr="003E3DFC">
              <w:rPr>
                <w:szCs w:val="20"/>
                <w:lang w:val="en-GB"/>
              </w:rPr>
              <w:t>2 300</w:t>
            </w:r>
          </w:p>
        </w:tc>
        <w:tc>
          <w:tcPr>
            <w:tcW w:w="673" w:type="pct"/>
            <w:shd w:val="clear" w:color="auto" w:fill="auto"/>
            <w:tcMar>
              <w:top w:w="15" w:type="dxa"/>
              <w:left w:w="15" w:type="dxa"/>
              <w:bottom w:w="0" w:type="dxa"/>
              <w:right w:w="15" w:type="dxa"/>
            </w:tcMar>
            <w:vAlign w:val="center"/>
            <w:hideMark/>
          </w:tcPr>
          <w:p w14:paraId="13BD9E1F" w14:textId="77777777" w:rsidR="00304ED4" w:rsidRPr="003E3DFC" w:rsidRDefault="00304ED4" w:rsidP="00D71414">
            <w:pPr>
              <w:pStyle w:val="NoSpacing"/>
              <w:jc w:val="center"/>
              <w:rPr>
                <w:szCs w:val="20"/>
                <w:lang w:val="en-GB"/>
              </w:rPr>
            </w:pPr>
            <w:r w:rsidRPr="003E3DFC">
              <w:rPr>
                <w:szCs w:val="20"/>
                <w:lang w:val="en-GB"/>
              </w:rPr>
              <w:t>:</w:t>
            </w:r>
          </w:p>
        </w:tc>
        <w:tc>
          <w:tcPr>
            <w:tcW w:w="674" w:type="pct"/>
            <w:shd w:val="clear" w:color="auto" w:fill="auto"/>
            <w:tcMar>
              <w:top w:w="15" w:type="dxa"/>
              <w:left w:w="15" w:type="dxa"/>
              <w:bottom w:w="0" w:type="dxa"/>
              <w:right w:w="15" w:type="dxa"/>
            </w:tcMar>
            <w:vAlign w:val="center"/>
            <w:hideMark/>
          </w:tcPr>
          <w:p w14:paraId="6C67BCC9" w14:textId="77777777" w:rsidR="00304ED4" w:rsidRPr="003E3DFC" w:rsidRDefault="00304ED4" w:rsidP="00D71414">
            <w:pPr>
              <w:pStyle w:val="NoSpacing"/>
              <w:jc w:val="center"/>
              <w:rPr>
                <w:szCs w:val="20"/>
                <w:lang w:val="en-GB"/>
              </w:rPr>
            </w:pPr>
            <w:r w:rsidRPr="003E3DFC">
              <w:rPr>
                <w:szCs w:val="20"/>
                <w:lang w:val="en-GB"/>
              </w:rPr>
              <w:t>1 358</w:t>
            </w:r>
          </w:p>
        </w:tc>
      </w:tr>
      <w:tr w:rsidR="00304ED4" w:rsidRPr="003E3DFC" w14:paraId="463795E9" w14:textId="77777777" w:rsidTr="007F0627">
        <w:trPr>
          <w:trHeight w:val="288"/>
        </w:trPr>
        <w:tc>
          <w:tcPr>
            <w:tcW w:w="2307" w:type="pct"/>
            <w:shd w:val="clear" w:color="auto" w:fill="auto"/>
            <w:tcMar>
              <w:top w:w="15" w:type="dxa"/>
              <w:left w:w="15" w:type="dxa"/>
              <w:bottom w:w="0" w:type="dxa"/>
              <w:right w:w="15" w:type="dxa"/>
            </w:tcMar>
            <w:vAlign w:val="center"/>
            <w:hideMark/>
          </w:tcPr>
          <w:p w14:paraId="57F7171C" w14:textId="77777777" w:rsidR="00304ED4" w:rsidRPr="003E3DFC" w:rsidRDefault="00304ED4" w:rsidP="00D71414">
            <w:pPr>
              <w:pStyle w:val="NoSpacing"/>
              <w:jc w:val="left"/>
              <w:rPr>
                <w:b/>
                <w:szCs w:val="20"/>
                <w:lang w:val="en-GB"/>
              </w:rPr>
            </w:pPr>
            <w:r w:rsidRPr="003E3DFC">
              <w:rPr>
                <w:b/>
                <w:szCs w:val="20"/>
                <w:lang w:val="en-GB"/>
              </w:rPr>
              <w:t>Incomplete primary and lower secondary education</w:t>
            </w:r>
          </w:p>
        </w:tc>
        <w:tc>
          <w:tcPr>
            <w:tcW w:w="673" w:type="pct"/>
            <w:shd w:val="clear" w:color="auto" w:fill="auto"/>
            <w:tcMar>
              <w:top w:w="15" w:type="dxa"/>
              <w:left w:w="15" w:type="dxa"/>
              <w:bottom w:w="0" w:type="dxa"/>
              <w:right w:w="15" w:type="dxa"/>
            </w:tcMar>
            <w:vAlign w:val="center"/>
            <w:hideMark/>
          </w:tcPr>
          <w:p w14:paraId="3D3E7805" w14:textId="77777777" w:rsidR="00304ED4" w:rsidRPr="003E3DFC" w:rsidRDefault="00304ED4" w:rsidP="00D71414">
            <w:pPr>
              <w:pStyle w:val="NoSpacing"/>
              <w:jc w:val="center"/>
              <w:rPr>
                <w:szCs w:val="20"/>
                <w:lang w:val="en-GB"/>
              </w:rPr>
            </w:pPr>
            <w:r w:rsidRPr="003E3DFC">
              <w:rPr>
                <w:szCs w:val="20"/>
                <w:lang w:val="en-GB"/>
              </w:rPr>
              <w:t>2 917</w:t>
            </w:r>
          </w:p>
        </w:tc>
        <w:tc>
          <w:tcPr>
            <w:tcW w:w="673" w:type="pct"/>
            <w:shd w:val="clear" w:color="auto" w:fill="auto"/>
            <w:tcMar>
              <w:top w:w="15" w:type="dxa"/>
              <w:left w:w="15" w:type="dxa"/>
              <w:bottom w:w="0" w:type="dxa"/>
              <w:right w:w="15" w:type="dxa"/>
            </w:tcMar>
            <w:vAlign w:val="center"/>
            <w:hideMark/>
          </w:tcPr>
          <w:p w14:paraId="208F3268" w14:textId="77777777" w:rsidR="00304ED4" w:rsidRPr="003E3DFC" w:rsidRDefault="00304ED4" w:rsidP="00D71414">
            <w:pPr>
              <w:pStyle w:val="NoSpacing"/>
              <w:jc w:val="center"/>
              <w:rPr>
                <w:szCs w:val="20"/>
                <w:lang w:val="en-GB"/>
              </w:rPr>
            </w:pPr>
            <w:r w:rsidRPr="003E3DFC">
              <w:rPr>
                <w:szCs w:val="20"/>
                <w:lang w:val="en-GB"/>
              </w:rPr>
              <w:t>3 920</w:t>
            </w:r>
          </w:p>
        </w:tc>
        <w:tc>
          <w:tcPr>
            <w:tcW w:w="673" w:type="pct"/>
            <w:shd w:val="clear" w:color="auto" w:fill="auto"/>
            <w:tcMar>
              <w:top w:w="15" w:type="dxa"/>
              <w:left w:w="15" w:type="dxa"/>
              <w:bottom w:w="0" w:type="dxa"/>
              <w:right w:w="15" w:type="dxa"/>
            </w:tcMar>
            <w:vAlign w:val="center"/>
            <w:hideMark/>
          </w:tcPr>
          <w:p w14:paraId="308D8A69" w14:textId="77777777" w:rsidR="00304ED4" w:rsidRPr="003E3DFC" w:rsidRDefault="00304ED4" w:rsidP="00D71414">
            <w:pPr>
              <w:pStyle w:val="NoSpacing"/>
              <w:jc w:val="center"/>
              <w:rPr>
                <w:szCs w:val="20"/>
                <w:lang w:val="en-GB"/>
              </w:rPr>
            </w:pPr>
            <w:r w:rsidRPr="003E3DFC">
              <w:rPr>
                <w:szCs w:val="20"/>
                <w:lang w:val="en-GB"/>
              </w:rPr>
              <w:t>963</w:t>
            </w:r>
          </w:p>
        </w:tc>
        <w:tc>
          <w:tcPr>
            <w:tcW w:w="674" w:type="pct"/>
            <w:shd w:val="clear" w:color="auto" w:fill="auto"/>
            <w:tcMar>
              <w:top w:w="15" w:type="dxa"/>
              <w:left w:w="15" w:type="dxa"/>
              <w:bottom w:w="0" w:type="dxa"/>
              <w:right w:w="15" w:type="dxa"/>
            </w:tcMar>
            <w:vAlign w:val="center"/>
            <w:hideMark/>
          </w:tcPr>
          <w:p w14:paraId="4103B4B0" w14:textId="77777777" w:rsidR="00304ED4" w:rsidRPr="003E3DFC" w:rsidRDefault="00304ED4" w:rsidP="00D71414">
            <w:pPr>
              <w:pStyle w:val="NoSpacing"/>
              <w:jc w:val="center"/>
              <w:rPr>
                <w:szCs w:val="20"/>
                <w:lang w:val="en-GB"/>
              </w:rPr>
            </w:pPr>
            <w:r w:rsidRPr="003E3DFC">
              <w:rPr>
                <w:szCs w:val="20"/>
                <w:lang w:val="en-GB"/>
              </w:rPr>
              <w:t>3 063</w:t>
            </w:r>
          </w:p>
        </w:tc>
      </w:tr>
      <w:tr w:rsidR="00304ED4" w:rsidRPr="003E3DFC" w14:paraId="48535076" w14:textId="77777777" w:rsidTr="007F0627">
        <w:trPr>
          <w:trHeight w:val="288"/>
        </w:trPr>
        <w:tc>
          <w:tcPr>
            <w:tcW w:w="2307" w:type="pct"/>
            <w:shd w:val="clear" w:color="auto" w:fill="auto"/>
            <w:tcMar>
              <w:top w:w="15" w:type="dxa"/>
              <w:left w:w="15" w:type="dxa"/>
              <w:bottom w:w="0" w:type="dxa"/>
              <w:right w:w="15" w:type="dxa"/>
            </w:tcMar>
            <w:vAlign w:val="center"/>
            <w:hideMark/>
          </w:tcPr>
          <w:p w14:paraId="5D7EDA8B" w14:textId="77777777" w:rsidR="00304ED4" w:rsidRPr="003E3DFC" w:rsidRDefault="00304ED4" w:rsidP="00D71414">
            <w:pPr>
              <w:pStyle w:val="NoSpacing"/>
              <w:jc w:val="left"/>
              <w:rPr>
                <w:b/>
                <w:szCs w:val="20"/>
                <w:lang w:val="en-GB"/>
              </w:rPr>
            </w:pPr>
            <w:r w:rsidRPr="003E3DFC">
              <w:rPr>
                <w:b/>
                <w:szCs w:val="20"/>
                <w:lang w:val="en-GB"/>
              </w:rPr>
              <w:t>Primary and lower secondary education</w:t>
            </w:r>
          </w:p>
        </w:tc>
        <w:tc>
          <w:tcPr>
            <w:tcW w:w="673" w:type="pct"/>
            <w:shd w:val="clear" w:color="auto" w:fill="auto"/>
            <w:tcMar>
              <w:top w:w="15" w:type="dxa"/>
              <w:left w:w="15" w:type="dxa"/>
              <w:bottom w:w="0" w:type="dxa"/>
              <w:right w:w="15" w:type="dxa"/>
            </w:tcMar>
            <w:vAlign w:val="center"/>
            <w:hideMark/>
          </w:tcPr>
          <w:p w14:paraId="6692EA99" w14:textId="77777777" w:rsidR="00304ED4" w:rsidRPr="003E3DFC" w:rsidRDefault="00304ED4" w:rsidP="00D71414">
            <w:pPr>
              <w:pStyle w:val="NoSpacing"/>
              <w:jc w:val="center"/>
              <w:rPr>
                <w:szCs w:val="20"/>
                <w:lang w:val="en-GB"/>
              </w:rPr>
            </w:pPr>
            <w:r w:rsidRPr="003E3DFC">
              <w:rPr>
                <w:szCs w:val="20"/>
                <w:lang w:val="en-GB"/>
              </w:rPr>
              <w:t>13 221</w:t>
            </w:r>
          </w:p>
        </w:tc>
        <w:tc>
          <w:tcPr>
            <w:tcW w:w="673" w:type="pct"/>
            <w:shd w:val="clear" w:color="auto" w:fill="auto"/>
            <w:tcMar>
              <w:top w:w="15" w:type="dxa"/>
              <w:left w:w="15" w:type="dxa"/>
              <w:bottom w:w="0" w:type="dxa"/>
              <w:right w:w="15" w:type="dxa"/>
            </w:tcMar>
            <w:vAlign w:val="center"/>
            <w:hideMark/>
          </w:tcPr>
          <w:p w14:paraId="2D3EE333" w14:textId="77777777" w:rsidR="00304ED4" w:rsidRPr="003E3DFC" w:rsidRDefault="00304ED4" w:rsidP="00D71414">
            <w:pPr>
              <w:pStyle w:val="NoSpacing"/>
              <w:jc w:val="center"/>
              <w:rPr>
                <w:szCs w:val="20"/>
                <w:lang w:val="en-GB"/>
              </w:rPr>
            </w:pPr>
            <w:r w:rsidRPr="003E3DFC">
              <w:rPr>
                <w:szCs w:val="20"/>
                <w:lang w:val="en-GB"/>
              </w:rPr>
              <w:t>19 545</w:t>
            </w:r>
          </w:p>
        </w:tc>
        <w:tc>
          <w:tcPr>
            <w:tcW w:w="673" w:type="pct"/>
            <w:shd w:val="clear" w:color="auto" w:fill="auto"/>
            <w:tcMar>
              <w:top w:w="15" w:type="dxa"/>
              <w:left w:w="15" w:type="dxa"/>
              <w:bottom w:w="0" w:type="dxa"/>
              <w:right w:w="15" w:type="dxa"/>
            </w:tcMar>
            <w:vAlign w:val="center"/>
            <w:hideMark/>
          </w:tcPr>
          <w:p w14:paraId="609ED96B" w14:textId="77777777" w:rsidR="00304ED4" w:rsidRPr="003E3DFC" w:rsidRDefault="00304ED4" w:rsidP="00D71414">
            <w:pPr>
              <w:pStyle w:val="NoSpacing"/>
              <w:jc w:val="center"/>
              <w:rPr>
                <w:szCs w:val="20"/>
                <w:lang w:val="en-GB"/>
              </w:rPr>
            </w:pPr>
            <w:r w:rsidRPr="003E3DFC">
              <w:rPr>
                <w:szCs w:val="20"/>
                <w:lang w:val="en-GB"/>
              </w:rPr>
              <w:t>8 849</w:t>
            </w:r>
          </w:p>
        </w:tc>
        <w:tc>
          <w:tcPr>
            <w:tcW w:w="674" w:type="pct"/>
            <w:shd w:val="clear" w:color="auto" w:fill="auto"/>
            <w:tcMar>
              <w:top w:w="15" w:type="dxa"/>
              <w:left w:w="15" w:type="dxa"/>
              <w:bottom w:w="0" w:type="dxa"/>
              <w:right w:w="15" w:type="dxa"/>
            </w:tcMar>
            <w:vAlign w:val="center"/>
            <w:hideMark/>
          </w:tcPr>
          <w:p w14:paraId="4907B90F" w14:textId="77777777" w:rsidR="00304ED4" w:rsidRPr="003E3DFC" w:rsidRDefault="00304ED4" w:rsidP="00D71414">
            <w:pPr>
              <w:pStyle w:val="NoSpacing"/>
              <w:jc w:val="center"/>
              <w:rPr>
                <w:szCs w:val="20"/>
                <w:lang w:val="en-GB"/>
              </w:rPr>
            </w:pPr>
            <w:r w:rsidRPr="003E3DFC">
              <w:rPr>
                <w:szCs w:val="20"/>
                <w:lang w:val="en-GB"/>
              </w:rPr>
              <w:t>11 900</w:t>
            </w:r>
          </w:p>
        </w:tc>
      </w:tr>
      <w:tr w:rsidR="00304ED4" w:rsidRPr="003E3DFC" w14:paraId="6FA3FBD7" w14:textId="77777777" w:rsidTr="007F0627">
        <w:trPr>
          <w:trHeight w:val="288"/>
        </w:trPr>
        <w:tc>
          <w:tcPr>
            <w:tcW w:w="2307" w:type="pct"/>
            <w:shd w:val="clear" w:color="auto" w:fill="auto"/>
            <w:tcMar>
              <w:top w:w="15" w:type="dxa"/>
              <w:left w:w="15" w:type="dxa"/>
              <w:bottom w:w="0" w:type="dxa"/>
              <w:right w:w="15" w:type="dxa"/>
            </w:tcMar>
            <w:vAlign w:val="center"/>
            <w:hideMark/>
          </w:tcPr>
          <w:p w14:paraId="3F429ACE" w14:textId="77777777" w:rsidR="00304ED4" w:rsidRPr="003E3DFC" w:rsidRDefault="00304ED4" w:rsidP="00D71414">
            <w:pPr>
              <w:pStyle w:val="NoSpacing"/>
              <w:jc w:val="left"/>
              <w:rPr>
                <w:b/>
                <w:szCs w:val="20"/>
                <w:lang w:val="en-GB"/>
              </w:rPr>
            </w:pPr>
            <w:r w:rsidRPr="003E3DFC">
              <w:rPr>
                <w:b/>
                <w:szCs w:val="20"/>
                <w:lang w:val="en-GB"/>
              </w:rPr>
              <w:t>3 years of secondary education</w:t>
            </w:r>
          </w:p>
        </w:tc>
        <w:tc>
          <w:tcPr>
            <w:tcW w:w="673" w:type="pct"/>
            <w:shd w:val="clear" w:color="auto" w:fill="auto"/>
            <w:tcMar>
              <w:top w:w="15" w:type="dxa"/>
              <w:left w:w="15" w:type="dxa"/>
              <w:bottom w:w="0" w:type="dxa"/>
              <w:right w:w="15" w:type="dxa"/>
            </w:tcMar>
            <w:vAlign w:val="center"/>
            <w:hideMark/>
          </w:tcPr>
          <w:p w14:paraId="7939A5CD" w14:textId="77777777" w:rsidR="00304ED4" w:rsidRPr="003E3DFC" w:rsidRDefault="00304ED4" w:rsidP="00D71414">
            <w:pPr>
              <w:pStyle w:val="NoSpacing"/>
              <w:jc w:val="center"/>
              <w:rPr>
                <w:szCs w:val="20"/>
                <w:lang w:val="en-GB"/>
              </w:rPr>
            </w:pPr>
            <w:r w:rsidRPr="003E3DFC">
              <w:rPr>
                <w:szCs w:val="20"/>
                <w:lang w:val="en-GB"/>
              </w:rPr>
              <w:t>5 005</w:t>
            </w:r>
          </w:p>
        </w:tc>
        <w:tc>
          <w:tcPr>
            <w:tcW w:w="673" w:type="pct"/>
            <w:shd w:val="clear" w:color="auto" w:fill="auto"/>
            <w:tcMar>
              <w:top w:w="15" w:type="dxa"/>
              <w:left w:w="15" w:type="dxa"/>
              <w:bottom w:w="0" w:type="dxa"/>
              <w:right w:w="15" w:type="dxa"/>
            </w:tcMar>
            <w:vAlign w:val="center"/>
            <w:hideMark/>
          </w:tcPr>
          <w:p w14:paraId="339AA8ED" w14:textId="77777777" w:rsidR="00304ED4" w:rsidRPr="003E3DFC" w:rsidRDefault="00304ED4" w:rsidP="00D71414">
            <w:pPr>
              <w:pStyle w:val="NoSpacing"/>
              <w:jc w:val="center"/>
              <w:rPr>
                <w:szCs w:val="20"/>
                <w:lang w:val="en-GB"/>
              </w:rPr>
            </w:pPr>
            <w:r w:rsidRPr="003E3DFC">
              <w:rPr>
                <w:szCs w:val="20"/>
                <w:lang w:val="en-GB"/>
              </w:rPr>
              <w:t>8 622</w:t>
            </w:r>
          </w:p>
        </w:tc>
        <w:tc>
          <w:tcPr>
            <w:tcW w:w="673" w:type="pct"/>
            <w:shd w:val="clear" w:color="auto" w:fill="auto"/>
            <w:tcMar>
              <w:top w:w="15" w:type="dxa"/>
              <w:left w:w="15" w:type="dxa"/>
              <w:bottom w:w="0" w:type="dxa"/>
              <w:right w:w="15" w:type="dxa"/>
            </w:tcMar>
            <w:vAlign w:val="center"/>
            <w:hideMark/>
          </w:tcPr>
          <w:p w14:paraId="4F4F64E3" w14:textId="77777777" w:rsidR="00304ED4" w:rsidRPr="003E3DFC" w:rsidRDefault="00304ED4" w:rsidP="00D71414">
            <w:pPr>
              <w:pStyle w:val="NoSpacing"/>
              <w:jc w:val="center"/>
              <w:rPr>
                <w:szCs w:val="20"/>
                <w:lang w:val="en-GB"/>
              </w:rPr>
            </w:pPr>
            <w:r w:rsidRPr="003E3DFC">
              <w:rPr>
                <w:szCs w:val="20"/>
                <w:lang w:val="en-GB"/>
              </w:rPr>
              <w:t>4 471</w:t>
            </w:r>
          </w:p>
        </w:tc>
        <w:tc>
          <w:tcPr>
            <w:tcW w:w="674" w:type="pct"/>
            <w:shd w:val="clear" w:color="auto" w:fill="auto"/>
            <w:tcMar>
              <w:top w:w="15" w:type="dxa"/>
              <w:left w:w="15" w:type="dxa"/>
              <w:bottom w:w="0" w:type="dxa"/>
              <w:right w:w="15" w:type="dxa"/>
            </w:tcMar>
            <w:vAlign w:val="center"/>
            <w:hideMark/>
          </w:tcPr>
          <w:p w14:paraId="33DE3BAC" w14:textId="77777777" w:rsidR="00304ED4" w:rsidRPr="003E3DFC" w:rsidRDefault="00304ED4" w:rsidP="00D71414">
            <w:pPr>
              <w:pStyle w:val="NoSpacing"/>
              <w:jc w:val="center"/>
              <w:rPr>
                <w:szCs w:val="20"/>
                <w:lang w:val="en-GB"/>
              </w:rPr>
            </w:pPr>
            <w:r w:rsidRPr="003E3DFC">
              <w:rPr>
                <w:szCs w:val="20"/>
                <w:lang w:val="en-GB"/>
              </w:rPr>
              <w:t>6 523</w:t>
            </w:r>
          </w:p>
        </w:tc>
      </w:tr>
      <w:tr w:rsidR="00304ED4" w:rsidRPr="003E3DFC" w14:paraId="24D36C16" w14:textId="77777777" w:rsidTr="007F0627">
        <w:trPr>
          <w:trHeight w:val="288"/>
        </w:trPr>
        <w:tc>
          <w:tcPr>
            <w:tcW w:w="2307" w:type="pct"/>
            <w:shd w:val="clear" w:color="auto" w:fill="auto"/>
            <w:tcMar>
              <w:top w:w="15" w:type="dxa"/>
              <w:left w:w="15" w:type="dxa"/>
              <w:bottom w:w="0" w:type="dxa"/>
              <w:right w:w="15" w:type="dxa"/>
            </w:tcMar>
            <w:vAlign w:val="center"/>
            <w:hideMark/>
          </w:tcPr>
          <w:p w14:paraId="01015674" w14:textId="77777777" w:rsidR="00304ED4" w:rsidRPr="003E3DFC" w:rsidRDefault="00304ED4" w:rsidP="00D71414">
            <w:pPr>
              <w:pStyle w:val="NoSpacing"/>
              <w:jc w:val="left"/>
              <w:rPr>
                <w:b/>
                <w:szCs w:val="20"/>
                <w:lang w:val="en-GB"/>
              </w:rPr>
            </w:pPr>
            <w:r w:rsidRPr="003E3DFC">
              <w:rPr>
                <w:b/>
                <w:szCs w:val="20"/>
                <w:lang w:val="en-GB"/>
              </w:rPr>
              <w:t>4 years of secondary education</w:t>
            </w:r>
          </w:p>
        </w:tc>
        <w:tc>
          <w:tcPr>
            <w:tcW w:w="673" w:type="pct"/>
            <w:shd w:val="clear" w:color="auto" w:fill="auto"/>
            <w:tcMar>
              <w:top w:w="15" w:type="dxa"/>
              <w:left w:w="15" w:type="dxa"/>
              <w:bottom w:w="0" w:type="dxa"/>
              <w:right w:w="15" w:type="dxa"/>
            </w:tcMar>
            <w:vAlign w:val="center"/>
            <w:hideMark/>
          </w:tcPr>
          <w:p w14:paraId="2B5E509F" w14:textId="77777777" w:rsidR="00304ED4" w:rsidRPr="003E3DFC" w:rsidRDefault="00304ED4" w:rsidP="00D71414">
            <w:pPr>
              <w:pStyle w:val="NoSpacing"/>
              <w:jc w:val="center"/>
              <w:rPr>
                <w:szCs w:val="20"/>
                <w:lang w:val="en-GB"/>
              </w:rPr>
            </w:pPr>
            <w:r w:rsidRPr="003E3DFC">
              <w:rPr>
                <w:szCs w:val="20"/>
                <w:lang w:val="en-GB"/>
              </w:rPr>
              <w:t>14 309</w:t>
            </w:r>
          </w:p>
        </w:tc>
        <w:tc>
          <w:tcPr>
            <w:tcW w:w="673" w:type="pct"/>
            <w:shd w:val="clear" w:color="auto" w:fill="auto"/>
            <w:tcMar>
              <w:top w:w="15" w:type="dxa"/>
              <w:left w:w="15" w:type="dxa"/>
              <w:bottom w:w="0" w:type="dxa"/>
              <w:right w:w="15" w:type="dxa"/>
            </w:tcMar>
            <w:vAlign w:val="center"/>
            <w:hideMark/>
          </w:tcPr>
          <w:p w14:paraId="5C47AB3E" w14:textId="77777777" w:rsidR="00304ED4" w:rsidRPr="003E3DFC" w:rsidRDefault="00304ED4" w:rsidP="00D71414">
            <w:pPr>
              <w:pStyle w:val="NoSpacing"/>
              <w:jc w:val="center"/>
              <w:rPr>
                <w:szCs w:val="20"/>
                <w:lang w:val="en-GB"/>
              </w:rPr>
            </w:pPr>
            <w:r w:rsidRPr="003E3DFC">
              <w:rPr>
                <w:szCs w:val="20"/>
                <w:lang w:val="en-GB"/>
              </w:rPr>
              <w:t>35 887</w:t>
            </w:r>
          </w:p>
        </w:tc>
        <w:tc>
          <w:tcPr>
            <w:tcW w:w="673" w:type="pct"/>
            <w:shd w:val="clear" w:color="auto" w:fill="auto"/>
            <w:tcMar>
              <w:top w:w="15" w:type="dxa"/>
              <w:left w:w="15" w:type="dxa"/>
              <w:bottom w:w="0" w:type="dxa"/>
              <w:right w:w="15" w:type="dxa"/>
            </w:tcMar>
            <w:vAlign w:val="center"/>
            <w:hideMark/>
          </w:tcPr>
          <w:p w14:paraId="448159CE" w14:textId="77777777" w:rsidR="00304ED4" w:rsidRPr="003E3DFC" w:rsidRDefault="00304ED4" w:rsidP="00D71414">
            <w:pPr>
              <w:pStyle w:val="NoSpacing"/>
              <w:jc w:val="center"/>
              <w:rPr>
                <w:szCs w:val="20"/>
                <w:lang w:val="en-GB"/>
              </w:rPr>
            </w:pPr>
            <w:r w:rsidRPr="003E3DFC">
              <w:rPr>
                <w:szCs w:val="20"/>
                <w:lang w:val="en-GB"/>
              </w:rPr>
              <w:t>14 605</w:t>
            </w:r>
          </w:p>
        </w:tc>
        <w:tc>
          <w:tcPr>
            <w:tcW w:w="674" w:type="pct"/>
            <w:shd w:val="clear" w:color="auto" w:fill="auto"/>
            <w:tcMar>
              <w:top w:w="15" w:type="dxa"/>
              <w:left w:w="15" w:type="dxa"/>
              <w:bottom w:w="0" w:type="dxa"/>
              <w:right w:w="15" w:type="dxa"/>
            </w:tcMar>
            <w:vAlign w:val="center"/>
            <w:hideMark/>
          </w:tcPr>
          <w:p w14:paraId="315F01C3" w14:textId="77777777" w:rsidR="00304ED4" w:rsidRPr="003E3DFC" w:rsidRDefault="00304ED4" w:rsidP="00D71414">
            <w:pPr>
              <w:pStyle w:val="NoSpacing"/>
              <w:jc w:val="center"/>
              <w:rPr>
                <w:szCs w:val="20"/>
                <w:lang w:val="en-GB"/>
              </w:rPr>
            </w:pPr>
            <w:r w:rsidRPr="003E3DFC">
              <w:rPr>
                <w:szCs w:val="20"/>
                <w:lang w:val="en-GB"/>
              </w:rPr>
              <w:t>31 365</w:t>
            </w:r>
          </w:p>
        </w:tc>
      </w:tr>
      <w:tr w:rsidR="00304ED4" w:rsidRPr="003E3DFC" w14:paraId="28B848D3" w14:textId="77777777" w:rsidTr="007F0627">
        <w:trPr>
          <w:trHeight w:val="288"/>
        </w:trPr>
        <w:tc>
          <w:tcPr>
            <w:tcW w:w="2307" w:type="pct"/>
            <w:shd w:val="clear" w:color="auto" w:fill="auto"/>
            <w:tcMar>
              <w:top w:w="15" w:type="dxa"/>
              <w:left w:w="15" w:type="dxa"/>
              <w:bottom w:w="0" w:type="dxa"/>
              <w:right w:w="15" w:type="dxa"/>
            </w:tcMar>
            <w:vAlign w:val="center"/>
            <w:hideMark/>
          </w:tcPr>
          <w:p w14:paraId="5DE63E17" w14:textId="77777777" w:rsidR="00304ED4" w:rsidRPr="003E3DFC" w:rsidRDefault="00304ED4" w:rsidP="00D71414">
            <w:pPr>
              <w:pStyle w:val="NoSpacing"/>
              <w:jc w:val="left"/>
              <w:rPr>
                <w:b/>
                <w:szCs w:val="20"/>
                <w:lang w:val="en-GB"/>
              </w:rPr>
            </w:pPr>
            <w:r w:rsidRPr="003E3DFC">
              <w:rPr>
                <w:b/>
                <w:szCs w:val="20"/>
                <w:lang w:val="en-GB"/>
              </w:rPr>
              <w:t>Higher education</w:t>
            </w:r>
          </w:p>
        </w:tc>
        <w:tc>
          <w:tcPr>
            <w:tcW w:w="673" w:type="pct"/>
            <w:shd w:val="clear" w:color="auto" w:fill="auto"/>
            <w:tcMar>
              <w:top w:w="15" w:type="dxa"/>
              <w:left w:w="15" w:type="dxa"/>
              <w:bottom w:w="0" w:type="dxa"/>
              <w:right w:w="15" w:type="dxa"/>
            </w:tcMar>
            <w:vAlign w:val="center"/>
            <w:hideMark/>
          </w:tcPr>
          <w:p w14:paraId="64E8D7BD" w14:textId="77777777" w:rsidR="00304ED4" w:rsidRPr="003E3DFC" w:rsidRDefault="00304ED4" w:rsidP="00D71414">
            <w:pPr>
              <w:pStyle w:val="NoSpacing"/>
              <w:jc w:val="center"/>
              <w:rPr>
                <w:szCs w:val="20"/>
                <w:lang w:val="en-GB"/>
              </w:rPr>
            </w:pPr>
            <w:r w:rsidRPr="003E3DFC">
              <w:rPr>
                <w:szCs w:val="20"/>
                <w:lang w:val="en-GB"/>
              </w:rPr>
              <w:t>205</w:t>
            </w:r>
          </w:p>
        </w:tc>
        <w:tc>
          <w:tcPr>
            <w:tcW w:w="673" w:type="pct"/>
            <w:shd w:val="clear" w:color="auto" w:fill="auto"/>
            <w:tcMar>
              <w:top w:w="15" w:type="dxa"/>
              <w:left w:w="15" w:type="dxa"/>
              <w:bottom w:w="0" w:type="dxa"/>
              <w:right w:w="15" w:type="dxa"/>
            </w:tcMar>
            <w:vAlign w:val="center"/>
            <w:hideMark/>
          </w:tcPr>
          <w:p w14:paraId="53A95044" w14:textId="77777777" w:rsidR="00304ED4" w:rsidRPr="003E3DFC" w:rsidRDefault="00304ED4" w:rsidP="00D71414">
            <w:pPr>
              <w:pStyle w:val="NoSpacing"/>
              <w:jc w:val="center"/>
              <w:rPr>
                <w:szCs w:val="20"/>
                <w:lang w:val="en-GB"/>
              </w:rPr>
            </w:pPr>
            <w:r w:rsidRPr="003E3DFC">
              <w:rPr>
                <w:szCs w:val="20"/>
                <w:lang w:val="en-GB"/>
              </w:rPr>
              <w:t>2 628</w:t>
            </w:r>
          </w:p>
        </w:tc>
        <w:tc>
          <w:tcPr>
            <w:tcW w:w="673" w:type="pct"/>
            <w:shd w:val="clear" w:color="auto" w:fill="auto"/>
            <w:tcMar>
              <w:top w:w="15" w:type="dxa"/>
              <w:left w:w="15" w:type="dxa"/>
              <w:bottom w:w="0" w:type="dxa"/>
              <w:right w:w="15" w:type="dxa"/>
            </w:tcMar>
            <w:vAlign w:val="center"/>
            <w:hideMark/>
          </w:tcPr>
          <w:p w14:paraId="21791C0B" w14:textId="77777777" w:rsidR="00304ED4" w:rsidRPr="003E3DFC" w:rsidRDefault="00304ED4" w:rsidP="00D71414">
            <w:pPr>
              <w:pStyle w:val="NoSpacing"/>
              <w:jc w:val="center"/>
              <w:rPr>
                <w:szCs w:val="20"/>
                <w:lang w:val="en-GB"/>
              </w:rPr>
            </w:pPr>
            <w:r w:rsidRPr="003E3DFC">
              <w:rPr>
                <w:szCs w:val="20"/>
                <w:lang w:val="en-GB"/>
              </w:rPr>
              <w:t>:</w:t>
            </w:r>
          </w:p>
        </w:tc>
        <w:tc>
          <w:tcPr>
            <w:tcW w:w="674" w:type="pct"/>
            <w:shd w:val="clear" w:color="auto" w:fill="auto"/>
            <w:tcMar>
              <w:top w:w="15" w:type="dxa"/>
              <w:left w:w="15" w:type="dxa"/>
              <w:bottom w:w="0" w:type="dxa"/>
              <w:right w:w="15" w:type="dxa"/>
            </w:tcMar>
            <w:vAlign w:val="center"/>
            <w:hideMark/>
          </w:tcPr>
          <w:p w14:paraId="3E359595" w14:textId="77777777" w:rsidR="00304ED4" w:rsidRPr="003E3DFC" w:rsidRDefault="00304ED4" w:rsidP="00D71414">
            <w:pPr>
              <w:pStyle w:val="NoSpacing"/>
              <w:jc w:val="center"/>
              <w:rPr>
                <w:szCs w:val="20"/>
                <w:lang w:val="en-GB"/>
              </w:rPr>
            </w:pPr>
            <w:r w:rsidRPr="003E3DFC">
              <w:rPr>
                <w:szCs w:val="20"/>
                <w:lang w:val="en-GB"/>
              </w:rPr>
              <w:t>1 426</w:t>
            </w:r>
          </w:p>
        </w:tc>
      </w:tr>
      <w:tr w:rsidR="00304ED4" w:rsidRPr="003E3DFC" w14:paraId="202EB1CE" w14:textId="77777777" w:rsidTr="007F0627">
        <w:trPr>
          <w:trHeight w:val="288"/>
        </w:trPr>
        <w:tc>
          <w:tcPr>
            <w:tcW w:w="2307" w:type="pct"/>
            <w:shd w:val="clear" w:color="auto" w:fill="auto"/>
            <w:tcMar>
              <w:top w:w="15" w:type="dxa"/>
              <w:left w:w="15" w:type="dxa"/>
              <w:bottom w:w="0" w:type="dxa"/>
              <w:right w:w="15" w:type="dxa"/>
            </w:tcMar>
            <w:vAlign w:val="center"/>
            <w:hideMark/>
          </w:tcPr>
          <w:p w14:paraId="40CE9C5F" w14:textId="77777777" w:rsidR="00304ED4" w:rsidRPr="003E3DFC" w:rsidRDefault="00304ED4" w:rsidP="00D71414">
            <w:pPr>
              <w:pStyle w:val="NoSpacing"/>
              <w:jc w:val="left"/>
              <w:rPr>
                <w:b/>
                <w:szCs w:val="20"/>
                <w:lang w:val="en-GB"/>
              </w:rPr>
            </w:pPr>
            <w:r w:rsidRPr="003E3DFC">
              <w:rPr>
                <w:b/>
                <w:szCs w:val="20"/>
                <w:lang w:val="en-GB"/>
              </w:rPr>
              <w:lastRenderedPageBreak/>
              <w:t>University level education</w:t>
            </w:r>
            <w:r w:rsidRPr="003E3DFC">
              <w:rPr>
                <w:b/>
                <w:szCs w:val="20"/>
                <w:vertAlign w:val="superscript"/>
                <w:lang w:val="en-GB"/>
              </w:rPr>
              <w:t>1</w:t>
            </w:r>
          </w:p>
        </w:tc>
        <w:tc>
          <w:tcPr>
            <w:tcW w:w="673" w:type="pct"/>
            <w:shd w:val="clear" w:color="auto" w:fill="auto"/>
            <w:tcMar>
              <w:top w:w="15" w:type="dxa"/>
              <w:left w:w="15" w:type="dxa"/>
              <w:bottom w:w="0" w:type="dxa"/>
              <w:right w:w="15" w:type="dxa"/>
            </w:tcMar>
            <w:vAlign w:val="center"/>
            <w:hideMark/>
          </w:tcPr>
          <w:p w14:paraId="5151BA8F" w14:textId="77777777" w:rsidR="00304ED4" w:rsidRPr="003E3DFC" w:rsidRDefault="00304ED4" w:rsidP="00D71414">
            <w:pPr>
              <w:pStyle w:val="NoSpacing"/>
              <w:jc w:val="center"/>
              <w:rPr>
                <w:szCs w:val="20"/>
                <w:lang w:val="en-GB"/>
              </w:rPr>
            </w:pPr>
            <w:r w:rsidRPr="003E3DFC">
              <w:rPr>
                <w:szCs w:val="20"/>
                <w:lang w:val="en-GB"/>
              </w:rPr>
              <w:t>2 743</w:t>
            </w:r>
          </w:p>
        </w:tc>
        <w:tc>
          <w:tcPr>
            <w:tcW w:w="673" w:type="pct"/>
            <w:shd w:val="clear" w:color="auto" w:fill="auto"/>
            <w:tcMar>
              <w:top w:w="15" w:type="dxa"/>
              <w:left w:w="15" w:type="dxa"/>
              <w:bottom w:w="0" w:type="dxa"/>
              <w:right w:w="15" w:type="dxa"/>
            </w:tcMar>
            <w:vAlign w:val="center"/>
            <w:hideMark/>
          </w:tcPr>
          <w:p w14:paraId="476ED5D1" w14:textId="77777777" w:rsidR="00304ED4" w:rsidRPr="003E3DFC" w:rsidRDefault="00304ED4" w:rsidP="00D71414">
            <w:pPr>
              <w:pStyle w:val="NoSpacing"/>
              <w:jc w:val="center"/>
              <w:rPr>
                <w:szCs w:val="20"/>
                <w:lang w:val="en-GB"/>
              </w:rPr>
            </w:pPr>
            <w:r w:rsidRPr="003E3DFC">
              <w:rPr>
                <w:szCs w:val="20"/>
                <w:lang w:val="en-GB"/>
              </w:rPr>
              <w:t>10 599</w:t>
            </w:r>
          </w:p>
        </w:tc>
        <w:tc>
          <w:tcPr>
            <w:tcW w:w="673" w:type="pct"/>
            <w:shd w:val="clear" w:color="auto" w:fill="auto"/>
            <w:tcMar>
              <w:top w:w="15" w:type="dxa"/>
              <w:left w:w="15" w:type="dxa"/>
              <w:bottom w:w="0" w:type="dxa"/>
              <w:right w:w="15" w:type="dxa"/>
            </w:tcMar>
            <w:vAlign w:val="center"/>
            <w:hideMark/>
          </w:tcPr>
          <w:p w14:paraId="020D92EA" w14:textId="77777777" w:rsidR="00304ED4" w:rsidRPr="003E3DFC" w:rsidRDefault="00304ED4" w:rsidP="00D71414">
            <w:pPr>
              <w:pStyle w:val="NoSpacing"/>
              <w:jc w:val="center"/>
              <w:rPr>
                <w:szCs w:val="20"/>
                <w:lang w:val="en-GB"/>
              </w:rPr>
            </w:pPr>
            <w:r w:rsidRPr="003E3DFC">
              <w:rPr>
                <w:szCs w:val="20"/>
                <w:lang w:val="en-GB"/>
              </w:rPr>
              <w:t>7 873</w:t>
            </w:r>
          </w:p>
        </w:tc>
        <w:tc>
          <w:tcPr>
            <w:tcW w:w="674" w:type="pct"/>
            <w:shd w:val="clear" w:color="auto" w:fill="auto"/>
            <w:tcMar>
              <w:top w:w="15" w:type="dxa"/>
              <w:left w:w="15" w:type="dxa"/>
              <w:bottom w:w="0" w:type="dxa"/>
              <w:right w:w="15" w:type="dxa"/>
            </w:tcMar>
            <w:vAlign w:val="center"/>
            <w:hideMark/>
          </w:tcPr>
          <w:p w14:paraId="5DC9C245" w14:textId="77777777" w:rsidR="00304ED4" w:rsidRPr="003E3DFC" w:rsidRDefault="00304ED4" w:rsidP="00D71414">
            <w:pPr>
              <w:pStyle w:val="NoSpacing"/>
              <w:jc w:val="center"/>
              <w:rPr>
                <w:szCs w:val="20"/>
                <w:lang w:val="en-GB"/>
              </w:rPr>
            </w:pPr>
            <w:r w:rsidRPr="003E3DFC">
              <w:rPr>
                <w:szCs w:val="20"/>
                <w:lang w:val="en-GB"/>
              </w:rPr>
              <w:t>18 030</w:t>
            </w:r>
          </w:p>
        </w:tc>
      </w:tr>
      <w:tr w:rsidR="00304ED4" w:rsidRPr="003E3DFC" w14:paraId="3E7E8B45" w14:textId="77777777" w:rsidTr="007F0627">
        <w:trPr>
          <w:trHeight w:val="288"/>
        </w:trPr>
        <w:tc>
          <w:tcPr>
            <w:tcW w:w="5000" w:type="pct"/>
            <w:gridSpan w:val="5"/>
            <w:shd w:val="clear" w:color="auto" w:fill="auto"/>
            <w:tcMar>
              <w:top w:w="15" w:type="dxa"/>
              <w:left w:w="15" w:type="dxa"/>
              <w:bottom w:w="0" w:type="dxa"/>
              <w:right w:w="15" w:type="dxa"/>
            </w:tcMar>
            <w:vAlign w:val="center"/>
            <w:hideMark/>
          </w:tcPr>
          <w:p w14:paraId="3A67E30F" w14:textId="77777777" w:rsidR="00304ED4" w:rsidRPr="003E3DFC" w:rsidRDefault="00304ED4" w:rsidP="00D71414">
            <w:pPr>
              <w:pStyle w:val="NoSpacing"/>
              <w:jc w:val="left"/>
              <w:rPr>
                <w:szCs w:val="20"/>
                <w:lang w:val="en-GB"/>
              </w:rPr>
            </w:pPr>
            <w:r w:rsidRPr="003E3DFC">
              <w:rPr>
                <w:szCs w:val="20"/>
                <w:vertAlign w:val="superscript"/>
                <w:lang w:val="en-GB"/>
              </w:rPr>
              <w:t>1)</w:t>
            </w:r>
            <w:r w:rsidRPr="003E3DFC">
              <w:rPr>
                <w:szCs w:val="20"/>
                <w:lang w:val="en-GB"/>
              </w:rPr>
              <w:t xml:space="preserve"> University level education includes: university level education, Master's degree and Doctorate (Ph.D.)</w:t>
            </w:r>
          </w:p>
        </w:tc>
      </w:tr>
    </w:tbl>
    <w:p w14:paraId="17B1A139" w14:textId="15C07EC1" w:rsidR="00304ED4" w:rsidRPr="003E3DFC" w:rsidRDefault="00304ED4" w:rsidP="00304ED4">
      <w:pPr>
        <w:pStyle w:val="NoSpacing"/>
        <w:rPr>
          <w:lang w:val="en-GB"/>
        </w:rPr>
      </w:pPr>
      <w:r w:rsidRPr="003E3DFC">
        <w:rPr>
          <w:lang w:val="en-GB"/>
        </w:rPr>
        <w:t xml:space="preserve">Source: </w:t>
      </w:r>
      <w:r w:rsidR="003F1A12" w:rsidRPr="003E3DFC">
        <w:rPr>
          <w:lang w:val="en-GB"/>
        </w:rPr>
        <w:t xml:space="preserve">Author’s own work based on LFS data from </w:t>
      </w:r>
      <w:r w:rsidRPr="003E3DFC">
        <w:rPr>
          <w:lang w:val="en-GB"/>
        </w:rPr>
        <w:t xml:space="preserve">State Statistical Office of the </w:t>
      </w:r>
      <w:r w:rsidR="00C30864" w:rsidRPr="003E3DFC">
        <w:rPr>
          <w:lang w:val="en-GB"/>
        </w:rPr>
        <w:t>R. of Macedonia</w:t>
      </w:r>
    </w:p>
    <w:p w14:paraId="1482C24E" w14:textId="77777777" w:rsidR="00304ED4" w:rsidRPr="003E3DFC" w:rsidRDefault="00304ED4" w:rsidP="007F0627">
      <w:pPr>
        <w:pStyle w:val="NoSpacing"/>
        <w:rPr>
          <w:lang w:val="en-GB"/>
        </w:rPr>
      </w:pPr>
    </w:p>
    <w:p w14:paraId="7764DF75" w14:textId="7E0C3D2A" w:rsidR="00873C25" w:rsidRPr="003E3DFC" w:rsidRDefault="00873C25" w:rsidP="0088150B">
      <w:pPr>
        <w:pStyle w:val="NoSpacing"/>
        <w:rPr>
          <w:lang w:val="en-GB"/>
        </w:rPr>
      </w:pPr>
      <w:r w:rsidRPr="003E3DFC">
        <w:rPr>
          <w:lang w:val="en-GB"/>
        </w:rPr>
        <w:t>Female unemployment is mostly long</w:t>
      </w:r>
      <w:r w:rsidR="00A257F8" w:rsidRPr="003E3DFC">
        <w:rPr>
          <w:lang w:val="en-GB"/>
        </w:rPr>
        <w:t xml:space="preserve">-term in nature, as is the case </w:t>
      </w:r>
      <w:r w:rsidR="005C46E9" w:rsidRPr="003E3DFC">
        <w:rPr>
          <w:lang w:val="en-GB"/>
        </w:rPr>
        <w:t>of</w:t>
      </w:r>
      <w:r w:rsidR="00A257F8" w:rsidRPr="003E3DFC">
        <w:rPr>
          <w:lang w:val="en-GB"/>
        </w:rPr>
        <w:t xml:space="preserve"> men (table </w:t>
      </w:r>
      <w:r w:rsidR="00B80334" w:rsidRPr="003E3DFC">
        <w:rPr>
          <w:lang w:val="en-GB"/>
        </w:rPr>
        <w:t>10</w:t>
      </w:r>
      <w:r w:rsidR="00A257F8" w:rsidRPr="003E3DFC">
        <w:rPr>
          <w:lang w:val="en-GB"/>
        </w:rPr>
        <w:t xml:space="preserve">). Hence, no gender difference </w:t>
      </w:r>
      <w:r w:rsidR="00B3116B" w:rsidRPr="003E3DFC">
        <w:rPr>
          <w:lang w:val="en-GB"/>
        </w:rPr>
        <w:t xml:space="preserve">is observed </w:t>
      </w:r>
      <w:r w:rsidR="00A257F8" w:rsidRPr="003E3DFC">
        <w:rPr>
          <w:lang w:val="en-GB"/>
        </w:rPr>
        <w:t xml:space="preserve">in this respect. </w:t>
      </w:r>
      <w:r w:rsidR="00B3116B" w:rsidRPr="003E3DFC">
        <w:rPr>
          <w:lang w:val="en-GB"/>
        </w:rPr>
        <w:t xml:space="preserve">Due to missing data, the observed period has been reduced to the period 2009-2013. </w:t>
      </w:r>
      <w:r w:rsidRPr="003E3DFC">
        <w:rPr>
          <w:lang w:val="en-GB"/>
        </w:rPr>
        <w:t xml:space="preserve">Long-term female unemployment rates </w:t>
      </w:r>
      <w:r w:rsidR="00A257F8" w:rsidRPr="003E3DFC">
        <w:rPr>
          <w:lang w:val="en-GB"/>
        </w:rPr>
        <w:t xml:space="preserve">have </w:t>
      </w:r>
      <w:r w:rsidRPr="003E3DFC">
        <w:rPr>
          <w:lang w:val="en-GB"/>
        </w:rPr>
        <w:t>slightly decreas</w:t>
      </w:r>
      <w:r w:rsidR="00A257F8" w:rsidRPr="003E3DFC">
        <w:rPr>
          <w:lang w:val="en-GB"/>
        </w:rPr>
        <w:t xml:space="preserve">ed </w:t>
      </w:r>
      <w:r w:rsidRPr="003E3DFC">
        <w:rPr>
          <w:lang w:val="en-GB"/>
        </w:rPr>
        <w:t>from 2009-2013 by 2.7 p.p.</w:t>
      </w:r>
      <w:r w:rsidR="00A257F8" w:rsidRPr="003E3DFC">
        <w:rPr>
          <w:lang w:val="en-GB"/>
        </w:rPr>
        <w:t xml:space="preserve"> While, the s</w:t>
      </w:r>
      <w:r w:rsidRPr="003E3DFC">
        <w:rPr>
          <w:lang w:val="en-GB"/>
        </w:rPr>
        <w:t xml:space="preserve">hare of long-term female unemployment in total female unemployment </w:t>
      </w:r>
      <w:r w:rsidR="00A257F8" w:rsidRPr="003E3DFC">
        <w:rPr>
          <w:lang w:val="en-GB"/>
        </w:rPr>
        <w:t xml:space="preserve">is </w:t>
      </w:r>
      <w:r w:rsidRPr="003E3DFC">
        <w:rPr>
          <w:lang w:val="en-GB"/>
        </w:rPr>
        <w:t xml:space="preserve">on the rise </w:t>
      </w:r>
      <w:r w:rsidR="00B3116B" w:rsidRPr="003E3DFC">
        <w:rPr>
          <w:lang w:val="en-GB"/>
        </w:rPr>
        <w:t xml:space="preserve">and increased </w:t>
      </w:r>
      <w:r w:rsidRPr="003E3DFC">
        <w:rPr>
          <w:lang w:val="en-GB"/>
        </w:rPr>
        <w:t xml:space="preserve">from 80.8% </w:t>
      </w:r>
      <w:r w:rsidR="00B3116B" w:rsidRPr="003E3DFC">
        <w:rPr>
          <w:lang w:val="en-GB"/>
        </w:rPr>
        <w:t xml:space="preserve">in 2009 </w:t>
      </w:r>
      <w:r w:rsidRPr="003E3DFC">
        <w:rPr>
          <w:lang w:val="en-GB"/>
        </w:rPr>
        <w:t>to 82.2% in 2013.</w:t>
      </w:r>
    </w:p>
    <w:p w14:paraId="73DD8363" w14:textId="77777777" w:rsidR="006C29E0" w:rsidRPr="003E3DFC" w:rsidRDefault="006C29E0" w:rsidP="0088150B">
      <w:pPr>
        <w:pStyle w:val="NoSpacing"/>
        <w:rPr>
          <w:lang w:val="en-GB"/>
        </w:rPr>
      </w:pPr>
    </w:p>
    <w:p w14:paraId="14065EC9" w14:textId="7033781C" w:rsidR="007542B0" w:rsidRPr="003E3DFC" w:rsidRDefault="007542B0" w:rsidP="007542B0">
      <w:pPr>
        <w:pStyle w:val="Caption"/>
        <w:rPr>
          <w:i w:val="0"/>
          <w:color w:val="auto"/>
          <w:sz w:val="24"/>
        </w:rPr>
      </w:pPr>
      <w:r w:rsidRPr="003E3DFC">
        <w:rPr>
          <w:i w:val="0"/>
          <w:color w:val="auto"/>
          <w:sz w:val="24"/>
        </w:rPr>
        <w:t xml:space="preserve">Table </w:t>
      </w:r>
      <w:r w:rsidRPr="003E3DFC">
        <w:rPr>
          <w:i w:val="0"/>
          <w:color w:val="auto"/>
          <w:sz w:val="24"/>
        </w:rPr>
        <w:fldChar w:fldCharType="begin"/>
      </w:r>
      <w:r w:rsidRPr="003E3DFC">
        <w:rPr>
          <w:i w:val="0"/>
          <w:color w:val="auto"/>
          <w:sz w:val="24"/>
        </w:rPr>
        <w:instrText xml:space="preserve"> SEQ Table \* ARABIC </w:instrText>
      </w:r>
      <w:r w:rsidRPr="003E3DFC">
        <w:rPr>
          <w:i w:val="0"/>
          <w:color w:val="auto"/>
          <w:sz w:val="24"/>
        </w:rPr>
        <w:fldChar w:fldCharType="separate"/>
      </w:r>
      <w:r w:rsidR="00F625BB" w:rsidRPr="003E3DFC">
        <w:rPr>
          <w:i w:val="0"/>
          <w:noProof/>
          <w:color w:val="auto"/>
          <w:sz w:val="24"/>
        </w:rPr>
        <w:t>10</w:t>
      </w:r>
      <w:r w:rsidRPr="003E3DFC">
        <w:rPr>
          <w:i w:val="0"/>
          <w:color w:val="auto"/>
          <w:sz w:val="24"/>
        </w:rPr>
        <w:fldChar w:fldCharType="end"/>
      </w:r>
      <w:r w:rsidRPr="003E3DFC">
        <w:rPr>
          <w:i w:val="0"/>
          <w:color w:val="auto"/>
          <w:sz w:val="24"/>
        </w:rPr>
        <w:t xml:space="preserve">: Long-term </w:t>
      </w:r>
      <w:r w:rsidR="003F1A12" w:rsidRPr="003E3DFC">
        <w:rPr>
          <w:i w:val="0"/>
          <w:color w:val="auto"/>
          <w:sz w:val="24"/>
        </w:rPr>
        <w:t>unemployment by g</w:t>
      </w:r>
      <w:r w:rsidRPr="003E3DFC">
        <w:rPr>
          <w:i w:val="0"/>
          <w:color w:val="auto"/>
          <w:sz w:val="24"/>
        </w:rPr>
        <w:t xml:space="preserve">ender in </w:t>
      </w:r>
      <w:r w:rsidR="00C30864" w:rsidRPr="003E3DFC">
        <w:rPr>
          <w:i w:val="0"/>
          <w:color w:val="auto"/>
          <w:sz w:val="24"/>
        </w:rPr>
        <w:t>R. of Macedonia</w:t>
      </w:r>
      <w:r w:rsidRPr="003E3DFC">
        <w:rPr>
          <w:i w:val="0"/>
          <w:color w:val="auto"/>
          <w:sz w:val="24"/>
          <w:vertAlign w:val="superscript"/>
        </w:rPr>
        <w:t>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170"/>
        <w:gridCol w:w="819"/>
        <w:gridCol w:w="818"/>
        <w:gridCol w:w="818"/>
        <w:gridCol w:w="818"/>
        <w:gridCol w:w="818"/>
        <w:gridCol w:w="818"/>
        <w:gridCol w:w="818"/>
        <w:gridCol w:w="818"/>
        <w:gridCol w:w="818"/>
        <w:gridCol w:w="807"/>
      </w:tblGrid>
      <w:tr w:rsidR="007542B0" w:rsidRPr="003E3DFC" w14:paraId="5D0A8528" w14:textId="77777777" w:rsidTr="00B80334">
        <w:trPr>
          <w:trHeight w:val="505"/>
        </w:trPr>
        <w:tc>
          <w:tcPr>
            <w:tcW w:w="626" w:type="pct"/>
            <w:vMerge w:val="restart"/>
            <w:shd w:val="clear" w:color="auto" w:fill="auto"/>
            <w:tcMar>
              <w:top w:w="15" w:type="dxa"/>
              <w:left w:w="15" w:type="dxa"/>
              <w:bottom w:w="0" w:type="dxa"/>
              <w:right w:w="15" w:type="dxa"/>
            </w:tcMar>
            <w:vAlign w:val="center"/>
            <w:hideMark/>
          </w:tcPr>
          <w:p w14:paraId="536EF533" w14:textId="77777777" w:rsidR="007542B0" w:rsidRPr="003E3DFC" w:rsidRDefault="007542B0" w:rsidP="007542B0">
            <w:pPr>
              <w:pStyle w:val="NoSpacing"/>
              <w:jc w:val="left"/>
              <w:rPr>
                <w:szCs w:val="20"/>
                <w:lang w:val="en-GB"/>
              </w:rPr>
            </w:pPr>
          </w:p>
        </w:tc>
        <w:tc>
          <w:tcPr>
            <w:tcW w:w="2190" w:type="pct"/>
            <w:gridSpan w:val="5"/>
            <w:shd w:val="clear" w:color="auto" w:fill="auto"/>
            <w:tcMar>
              <w:top w:w="15" w:type="dxa"/>
              <w:left w:w="15" w:type="dxa"/>
              <w:bottom w:w="0" w:type="dxa"/>
              <w:right w:w="15" w:type="dxa"/>
            </w:tcMar>
            <w:vAlign w:val="center"/>
            <w:hideMark/>
          </w:tcPr>
          <w:p w14:paraId="62C1777F" w14:textId="77777777" w:rsidR="007542B0" w:rsidRPr="003E3DFC" w:rsidRDefault="007542B0" w:rsidP="007542B0">
            <w:pPr>
              <w:pStyle w:val="NoSpacing"/>
              <w:jc w:val="center"/>
              <w:rPr>
                <w:b/>
                <w:szCs w:val="20"/>
                <w:lang w:val="en-GB"/>
              </w:rPr>
            </w:pPr>
            <w:r w:rsidRPr="003E3DFC">
              <w:rPr>
                <w:b/>
                <w:bCs/>
                <w:szCs w:val="20"/>
                <w:lang w:val="en-GB"/>
              </w:rPr>
              <w:t xml:space="preserve">% of long-term unemployment </w:t>
            </w:r>
            <w:r w:rsidRPr="003E3DFC">
              <w:rPr>
                <w:b/>
                <w:bCs/>
                <w:szCs w:val="20"/>
                <w:vertAlign w:val="superscript"/>
                <w:lang w:val="en-GB"/>
              </w:rPr>
              <w:t>2)</w:t>
            </w:r>
          </w:p>
        </w:tc>
        <w:tc>
          <w:tcPr>
            <w:tcW w:w="2184" w:type="pct"/>
            <w:gridSpan w:val="5"/>
            <w:shd w:val="clear" w:color="auto" w:fill="auto"/>
            <w:tcMar>
              <w:top w:w="15" w:type="dxa"/>
              <w:left w:w="15" w:type="dxa"/>
              <w:bottom w:w="0" w:type="dxa"/>
              <w:right w:w="15" w:type="dxa"/>
            </w:tcMar>
            <w:vAlign w:val="center"/>
            <w:hideMark/>
          </w:tcPr>
          <w:p w14:paraId="33123867" w14:textId="77777777" w:rsidR="007542B0" w:rsidRPr="003E3DFC" w:rsidRDefault="007542B0" w:rsidP="007542B0">
            <w:pPr>
              <w:pStyle w:val="NoSpacing"/>
              <w:jc w:val="center"/>
              <w:rPr>
                <w:b/>
                <w:szCs w:val="20"/>
                <w:lang w:val="en-GB"/>
              </w:rPr>
            </w:pPr>
            <w:r w:rsidRPr="003E3DFC">
              <w:rPr>
                <w:b/>
                <w:bCs/>
                <w:szCs w:val="20"/>
                <w:lang w:val="en-GB"/>
              </w:rPr>
              <w:t>Long-term unemployment rate</w:t>
            </w:r>
            <w:r w:rsidRPr="003E3DFC">
              <w:rPr>
                <w:b/>
                <w:bCs/>
                <w:szCs w:val="20"/>
                <w:vertAlign w:val="superscript"/>
                <w:lang w:val="en-GB"/>
              </w:rPr>
              <w:t>3)</w:t>
            </w:r>
          </w:p>
        </w:tc>
      </w:tr>
      <w:tr w:rsidR="007542B0" w:rsidRPr="003E3DFC" w14:paraId="69B08069" w14:textId="77777777" w:rsidTr="00B80334">
        <w:trPr>
          <w:trHeight w:val="317"/>
        </w:trPr>
        <w:tc>
          <w:tcPr>
            <w:tcW w:w="626" w:type="pct"/>
            <w:vMerge/>
            <w:shd w:val="clear" w:color="auto" w:fill="auto"/>
            <w:vAlign w:val="center"/>
            <w:hideMark/>
          </w:tcPr>
          <w:p w14:paraId="77A34324" w14:textId="77777777" w:rsidR="007542B0" w:rsidRPr="003E3DFC" w:rsidRDefault="007542B0" w:rsidP="007542B0">
            <w:pPr>
              <w:pStyle w:val="NoSpacing"/>
              <w:jc w:val="left"/>
              <w:rPr>
                <w:szCs w:val="20"/>
                <w:lang w:val="en-GB"/>
              </w:rPr>
            </w:pPr>
          </w:p>
        </w:tc>
        <w:tc>
          <w:tcPr>
            <w:tcW w:w="438" w:type="pct"/>
            <w:shd w:val="clear" w:color="auto" w:fill="auto"/>
            <w:tcMar>
              <w:top w:w="15" w:type="dxa"/>
              <w:left w:w="15" w:type="dxa"/>
              <w:bottom w:w="0" w:type="dxa"/>
              <w:right w:w="15" w:type="dxa"/>
            </w:tcMar>
            <w:vAlign w:val="center"/>
            <w:hideMark/>
          </w:tcPr>
          <w:p w14:paraId="4D53C6B2" w14:textId="77777777" w:rsidR="007542B0" w:rsidRPr="003E3DFC" w:rsidRDefault="007542B0" w:rsidP="007542B0">
            <w:pPr>
              <w:pStyle w:val="NoSpacing"/>
              <w:jc w:val="center"/>
              <w:rPr>
                <w:b/>
                <w:szCs w:val="20"/>
                <w:lang w:val="en-GB"/>
              </w:rPr>
            </w:pPr>
            <w:r w:rsidRPr="003E3DFC">
              <w:rPr>
                <w:b/>
                <w:bCs/>
                <w:szCs w:val="20"/>
                <w:lang w:val="en-GB"/>
              </w:rPr>
              <w:t>2009</w:t>
            </w:r>
          </w:p>
        </w:tc>
        <w:tc>
          <w:tcPr>
            <w:tcW w:w="438" w:type="pct"/>
            <w:shd w:val="clear" w:color="auto" w:fill="auto"/>
            <w:tcMar>
              <w:top w:w="15" w:type="dxa"/>
              <w:left w:w="15" w:type="dxa"/>
              <w:bottom w:w="0" w:type="dxa"/>
              <w:right w:w="15" w:type="dxa"/>
            </w:tcMar>
            <w:vAlign w:val="center"/>
            <w:hideMark/>
          </w:tcPr>
          <w:p w14:paraId="21FA7601" w14:textId="77777777" w:rsidR="007542B0" w:rsidRPr="003E3DFC" w:rsidRDefault="007542B0" w:rsidP="007542B0">
            <w:pPr>
              <w:pStyle w:val="NoSpacing"/>
              <w:jc w:val="center"/>
              <w:rPr>
                <w:b/>
                <w:szCs w:val="20"/>
                <w:lang w:val="en-GB"/>
              </w:rPr>
            </w:pPr>
            <w:r w:rsidRPr="003E3DFC">
              <w:rPr>
                <w:b/>
                <w:bCs/>
                <w:szCs w:val="20"/>
                <w:lang w:val="en-GB"/>
              </w:rPr>
              <w:t>2010</w:t>
            </w:r>
          </w:p>
        </w:tc>
        <w:tc>
          <w:tcPr>
            <w:tcW w:w="438" w:type="pct"/>
            <w:shd w:val="clear" w:color="auto" w:fill="auto"/>
            <w:tcMar>
              <w:top w:w="15" w:type="dxa"/>
              <w:left w:w="15" w:type="dxa"/>
              <w:bottom w:w="0" w:type="dxa"/>
              <w:right w:w="15" w:type="dxa"/>
            </w:tcMar>
            <w:vAlign w:val="center"/>
            <w:hideMark/>
          </w:tcPr>
          <w:p w14:paraId="208DC7F3" w14:textId="77777777" w:rsidR="007542B0" w:rsidRPr="003E3DFC" w:rsidRDefault="007542B0" w:rsidP="007542B0">
            <w:pPr>
              <w:pStyle w:val="NoSpacing"/>
              <w:jc w:val="center"/>
              <w:rPr>
                <w:b/>
                <w:szCs w:val="20"/>
                <w:lang w:val="en-GB"/>
              </w:rPr>
            </w:pPr>
            <w:r w:rsidRPr="003E3DFC">
              <w:rPr>
                <w:b/>
                <w:bCs/>
                <w:szCs w:val="20"/>
                <w:lang w:val="en-GB"/>
              </w:rPr>
              <w:t>2011</w:t>
            </w:r>
          </w:p>
        </w:tc>
        <w:tc>
          <w:tcPr>
            <w:tcW w:w="438" w:type="pct"/>
            <w:shd w:val="clear" w:color="auto" w:fill="auto"/>
            <w:tcMar>
              <w:top w:w="15" w:type="dxa"/>
              <w:left w:w="15" w:type="dxa"/>
              <w:bottom w:w="0" w:type="dxa"/>
              <w:right w:w="15" w:type="dxa"/>
            </w:tcMar>
            <w:vAlign w:val="center"/>
            <w:hideMark/>
          </w:tcPr>
          <w:p w14:paraId="7A3C88F8" w14:textId="77777777" w:rsidR="007542B0" w:rsidRPr="003E3DFC" w:rsidRDefault="007542B0" w:rsidP="007542B0">
            <w:pPr>
              <w:pStyle w:val="NoSpacing"/>
              <w:jc w:val="center"/>
              <w:rPr>
                <w:b/>
                <w:szCs w:val="20"/>
                <w:lang w:val="en-GB"/>
              </w:rPr>
            </w:pPr>
            <w:r w:rsidRPr="003E3DFC">
              <w:rPr>
                <w:b/>
                <w:bCs/>
                <w:szCs w:val="20"/>
                <w:lang w:val="en-GB"/>
              </w:rPr>
              <w:t>2012</w:t>
            </w:r>
          </w:p>
        </w:tc>
        <w:tc>
          <w:tcPr>
            <w:tcW w:w="438" w:type="pct"/>
            <w:shd w:val="clear" w:color="auto" w:fill="auto"/>
            <w:tcMar>
              <w:top w:w="15" w:type="dxa"/>
              <w:left w:w="15" w:type="dxa"/>
              <w:bottom w:w="0" w:type="dxa"/>
              <w:right w:w="15" w:type="dxa"/>
            </w:tcMar>
            <w:vAlign w:val="center"/>
            <w:hideMark/>
          </w:tcPr>
          <w:p w14:paraId="7F5F8E2C" w14:textId="77777777" w:rsidR="007542B0" w:rsidRPr="003E3DFC" w:rsidRDefault="007542B0" w:rsidP="007542B0">
            <w:pPr>
              <w:pStyle w:val="NoSpacing"/>
              <w:jc w:val="center"/>
              <w:rPr>
                <w:b/>
                <w:szCs w:val="20"/>
                <w:lang w:val="en-GB"/>
              </w:rPr>
            </w:pPr>
            <w:r w:rsidRPr="003E3DFC">
              <w:rPr>
                <w:b/>
                <w:bCs/>
                <w:szCs w:val="20"/>
                <w:lang w:val="en-GB"/>
              </w:rPr>
              <w:t>2013</w:t>
            </w:r>
          </w:p>
        </w:tc>
        <w:tc>
          <w:tcPr>
            <w:tcW w:w="438" w:type="pct"/>
            <w:shd w:val="clear" w:color="auto" w:fill="auto"/>
            <w:tcMar>
              <w:top w:w="15" w:type="dxa"/>
              <w:left w:w="15" w:type="dxa"/>
              <w:bottom w:w="0" w:type="dxa"/>
              <w:right w:w="15" w:type="dxa"/>
            </w:tcMar>
            <w:vAlign w:val="center"/>
            <w:hideMark/>
          </w:tcPr>
          <w:p w14:paraId="0FDE2666" w14:textId="77777777" w:rsidR="007542B0" w:rsidRPr="003E3DFC" w:rsidRDefault="007542B0" w:rsidP="007542B0">
            <w:pPr>
              <w:pStyle w:val="NoSpacing"/>
              <w:jc w:val="center"/>
              <w:rPr>
                <w:b/>
                <w:szCs w:val="20"/>
                <w:lang w:val="en-GB"/>
              </w:rPr>
            </w:pPr>
            <w:r w:rsidRPr="003E3DFC">
              <w:rPr>
                <w:b/>
                <w:bCs/>
                <w:szCs w:val="20"/>
                <w:lang w:val="en-GB"/>
              </w:rPr>
              <w:t>2009</w:t>
            </w:r>
          </w:p>
        </w:tc>
        <w:tc>
          <w:tcPr>
            <w:tcW w:w="438" w:type="pct"/>
            <w:shd w:val="clear" w:color="auto" w:fill="auto"/>
            <w:tcMar>
              <w:top w:w="15" w:type="dxa"/>
              <w:left w:w="15" w:type="dxa"/>
              <w:bottom w:w="0" w:type="dxa"/>
              <w:right w:w="15" w:type="dxa"/>
            </w:tcMar>
            <w:vAlign w:val="center"/>
            <w:hideMark/>
          </w:tcPr>
          <w:p w14:paraId="5873C6A2" w14:textId="77777777" w:rsidR="007542B0" w:rsidRPr="003E3DFC" w:rsidRDefault="007542B0" w:rsidP="007542B0">
            <w:pPr>
              <w:pStyle w:val="NoSpacing"/>
              <w:jc w:val="center"/>
              <w:rPr>
                <w:b/>
                <w:szCs w:val="20"/>
                <w:lang w:val="en-GB"/>
              </w:rPr>
            </w:pPr>
            <w:r w:rsidRPr="003E3DFC">
              <w:rPr>
                <w:b/>
                <w:bCs/>
                <w:szCs w:val="20"/>
                <w:lang w:val="en-GB"/>
              </w:rPr>
              <w:t>2010</w:t>
            </w:r>
          </w:p>
        </w:tc>
        <w:tc>
          <w:tcPr>
            <w:tcW w:w="438" w:type="pct"/>
            <w:shd w:val="clear" w:color="auto" w:fill="auto"/>
            <w:tcMar>
              <w:top w:w="15" w:type="dxa"/>
              <w:left w:w="15" w:type="dxa"/>
              <w:bottom w:w="0" w:type="dxa"/>
              <w:right w:w="15" w:type="dxa"/>
            </w:tcMar>
            <w:vAlign w:val="center"/>
            <w:hideMark/>
          </w:tcPr>
          <w:p w14:paraId="6C981BCD" w14:textId="77777777" w:rsidR="007542B0" w:rsidRPr="003E3DFC" w:rsidRDefault="007542B0" w:rsidP="007542B0">
            <w:pPr>
              <w:pStyle w:val="NoSpacing"/>
              <w:jc w:val="center"/>
              <w:rPr>
                <w:b/>
                <w:szCs w:val="20"/>
                <w:lang w:val="en-GB"/>
              </w:rPr>
            </w:pPr>
            <w:r w:rsidRPr="003E3DFC">
              <w:rPr>
                <w:b/>
                <w:bCs/>
                <w:szCs w:val="20"/>
                <w:lang w:val="en-GB"/>
              </w:rPr>
              <w:t>2011</w:t>
            </w:r>
          </w:p>
        </w:tc>
        <w:tc>
          <w:tcPr>
            <w:tcW w:w="438" w:type="pct"/>
            <w:shd w:val="clear" w:color="auto" w:fill="auto"/>
            <w:tcMar>
              <w:top w:w="15" w:type="dxa"/>
              <w:left w:w="15" w:type="dxa"/>
              <w:bottom w:w="0" w:type="dxa"/>
              <w:right w:w="15" w:type="dxa"/>
            </w:tcMar>
            <w:vAlign w:val="center"/>
            <w:hideMark/>
          </w:tcPr>
          <w:p w14:paraId="226F7758" w14:textId="77777777" w:rsidR="007542B0" w:rsidRPr="003E3DFC" w:rsidRDefault="007542B0" w:rsidP="007542B0">
            <w:pPr>
              <w:pStyle w:val="NoSpacing"/>
              <w:jc w:val="center"/>
              <w:rPr>
                <w:b/>
                <w:szCs w:val="20"/>
                <w:lang w:val="en-GB"/>
              </w:rPr>
            </w:pPr>
            <w:r w:rsidRPr="003E3DFC">
              <w:rPr>
                <w:b/>
                <w:bCs/>
                <w:szCs w:val="20"/>
                <w:lang w:val="en-GB"/>
              </w:rPr>
              <w:t>2012</w:t>
            </w:r>
          </w:p>
        </w:tc>
        <w:tc>
          <w:tcPr>
            <w:tcW w:w="432" w:type="pct"/>
            <w:shd w:val="clear" w:color="auto" w:fill="auto"/>
            <w:tcMar>
              <w:top w:w="15" w:type="dxa"/>
              <w:left w:w="15" w:type="dxa"/>
              <w:bottom w:w="0" w:type="dxa"/>
              <w:right w:w="15" w:type="dxa"/>
            </w:tcMar>
            <w:vAlign w:val="center"/>
            <w:hideMark/>
          </w:tcPr>
          <w:p w14:paraId="294225CA" w14:textId="77777777" w:rsidR="007542B0" w:rsidRPr="003E3DFC" w:rsidRDefault="007542B0" w:rsidP="007542B0">
            <w:pPr>
              <w:pStyle w:val="NoSpacing"/>
              <w:jc w:val="center"/>
              <w:rPr>
                <w:b/>
                <w:szCs w:val="20"/>
                <w:lang w:val="en-GB"/>
              </w:rPr>
            </w:pPr>
            <w:r w:rsidRPr="003E3DFC">
              <w:rPr>
                <w:b/>
                <w:bCs/>
                <w:szCs w:val="20"/>
                <w:lang w:val="en-GB"/>
              </w:rPr>
              <w:t>2013</w:t>
            </w:r>
          </w:p>
        </w:tc>
      </w:tr>
      <w:tr w:rsidR="00B80334" w:rsidRPr="003E3DFC" w14:paraId="03234890" w14:textId="77777777" w:rsidTr="00B80334">
        <w:trPr>
          <w:trHeight w:val="505"/>
        </w:trPr>
        <w:tc>
          <w:tcPr>
            <w:tcW w:w="626" w:type="pct"/>
            <w:shd w:val="clear" w:color="auto" w:fill="auto"/>
            <w:tcMar>
              <w:top w:w="15" w:type="dxa"/>
              <w:left w:w="15" w:type="dxa"/>
              <w:bottom w:w="0" w:type="dxa"/>
              <w:right w:w="15" w:type="dxa"/>
            </w:tcMar>
            <w:vAlign w:val="center"/>
            <w:hideMark/>
          </w:tcPr>
          <w:p w14:paraId="188AC4BC" w14:textId="77777777" w:rsidR="00B80334" w:rsidRPr="003E3DFC" w:rsidRDefault="00B80334" w:rsidP="007D31EC">
            <w:pPr>
              <w:pStyle w:val="NoSpacing"/>
              <w:jc w:val="left"/>
              <w:rPr>
                <w:b/>
                <w:szCs w:val="20"/>
                <w:lang w:val="en-GB"/>
              </w:rPr>
            </w:pPr>
            <w:r w:rsidRPr="003E3DFC">
              <w:rPr>
                <w:b/>
                <w:szCs w:val="20"/>
                <w:lang w:val="en-GB"/>
              </w:rPr>
              <w:t>Women</w:t>
            </w:r>
          </w:p>
        </w:tc>
        <w:tc>
          <w:tcPr>
            <w:tcW w:w="438" w:type="pct"/>
            <w:shd w:val="clear" w:color="auto" w:fill="auto"/>
            <w:tcMar>
              <w:top w:w="15" w:type="dxa"/>
              <w:left w:w="15" w:type="dxa"/>
              <w:bottom w:w="0" w:type="dxa"/>
              <w:right w:w="15" w:type="dxa"/>
            </w:tcMar>
            <w:vAlign w:val="center"/>
            <w:hideMark/>
          </w:tcPr>
          <w:p w14:paraId="1EAA236F" w14:textId="77777777" w:rsidR="00B80334" w:rsidRPr="003E3DFC" w:rsidRDefault="00B80334" w:rsidP="007D31EC">
            <w:pPr>
              <w:pStyle w:val="NoSpacing"/>
              <w:jc w:val="center"/>
              <w:rPr>
                <w:szCs w:val="20"/>
                <w:lang w:val="en-GB"/>
              </w:rPr>
            </w:pPr>
            <w:r w:rsidRPr="003E3DFC">
              <w:rPr>
                <w:szCs w:val="20"/>
                <w:lang w:val="en-GB"/>
              </w:rPr>
              <w:t>80.8</w:t>
            </w:r>
          </w:p>
        </w:tc>
        <w:tc>
          <w:tcPr>
            <w:tcW w:w="438" w:type="pct"/>
            <w:shd w:val="clear" w:color="auto" w:fill="auto"/>
            <w:tcMar>
              <w:top w:w="15" w:type="dxa"/>
              <w:left w:w="15" w:type="dxa"/>
              <w:bottom w:w="0" w:type="dxa"/>
              <w:right w:w="15" w:type="dxa"/>
            </w:tcMar>
            <w:vAlign w:val="center"/>
            <w:hideMark/>
          </w:tcPr>
          <w:p w14:paraId="001E2994" w14:textId="77777777" w:rsidR="00B80334" w:rsidRPr="003E3DFC" w:rsidRDefault="00B80334" w:rsidP="007D31EC">
            <w:pPr>
              <w:pStyle w:val="NoSpacing"/>
              <w:jc w:val="center"/>
              <w:rPr>
                <w:szCs w:val="20"/>
                <w:lang w:val="en-GB"/>
              </w:rPr>
            </w:pPr>
            <w:r w:rsidRPr="003E3DFC">
              <w:rPr>
                <w:szCs w:val="20"/>
                <w:lang w:val="en-GB"/>
              </w:rPr>
              <w:t>82.7</w:t>
            </w:r>
          </w:p>
        </w:tc>
        <w:tc>
          <w:tcPr>
            <w:tcW w:w="438" w:type="pct"/>
            <w:shd w:val="clear" w:color="auto" w:fill="auto"/>
            <w:tcMar>
              <w:top w:w="15" w:type="dxa"/>
              <w:left w:w="15" w:type="dxa"/>
              <w:bottom w:w="0" w:type="dxa"/>
              <w:right w:w="15" w:type="dxa"/>
            </w:tcMar>
            <w:vAlign w:val="center"/>
            <w:hideMark/>
          </w:tcPr>
          <w:p w14:paraId="202DB47C" w14:textId="77777777" w:rsidR="00B80334" w:rsidRPr="003E3DFC" w:rsidRDefault="00B80334" w:rsidP="007D31EC">
            <w:pPr>
              <w:pStyle w:val="NoSpacing"/>
              <w:jc w:val="center"/>
              <w:rPr>
                <w:szCs w:val="20"/>
                <w:lang w:val="en-GB"/>
              </w:rPr>
            </w:pPr>
            <w:r w:rsidRPr="003E3DFC">
              <w:rPr>
                <w:szCs w:val="20"/>
                <w:lang w:val="en-GB"/>
              </w:rPr>
              <w:t>81.0</w:t>
            </w:r>
          </w:p>
        </w:tc>
        <w:tc>
          <w:tcPr>
            <w:tcW w:w="438" w:type="pct"/>
            <w:shd w:val="clear" w:color="auto" w:fill="auto"/>
            <w:tcMar>
              <w:top w:w="15" w:type="dxa"/>
              <w:left w:w="15" w:type="dxa"/>
              <w:bottom w:w="0" w:type="dxa"/>
              <w:right w:w="15" w:type="dxa"/>
            </w:tcMar>
            <w:vAlign w:val="center"/>
            <w:hideMark/>
          </w:tcPr>
          <w:p w14:paraId="1471C8DA" w14:textId="77777777" w:rsidR="00B80334" w:rsidRPr="003E3DFC" w:rsidRDefault="00B80334" w:rsidP="007D31EC">
            <w:pPr>
              <w:pStyle w:val="NoSpacing"/>
              <w:jc w:val="center"/>
              <w:rPr>
                <w:szCs w:val="20"/>
                <w:lang w:val="en-GB"/>
              </w:rPr>
            </w:pPr>
            <w:r w:rsidRPr="003E3DFC">
              <w:rPr>
                <w:szCs w:val="20"/>
                <w:lang w:val="en-GB"/>
              </w:rPr>
              <w:t>80.7</w:t>
            </w:r>
          </w:p>
        </w:tc>
        <w:tc>
          <w:tcPr>
            <w:tcW w:w="438" w:type="pct"/>
            <w:shd w:val="clear" w:color="auto" w:fill="auto"/>
            <w:tcMar>
              <w:top w:w="15" w:type="dxa"/>
              <w:left w:w="15" w:type="dxa"/>
              <w:bottom w:w="0" w:type="dxa"/>
              <w:right w:w="15" w:type="dxa"/>
            </w:tcMar>
            <w:vAlign w:val="center"/>
            <w:hideMark/>
          </w:tcPr>
          <w:p w14:paraId="6C32FFDA" w14:textId="77777777" w:rsidR="00B80334" w:rsidRPr="003E3DFC" w:rsidRDefault="00B80334" w:rsidP="007D31EC">
            <w:pPr>
              <w:pStyle w:val="NoSpacing"/>
              <w:jc w:val="center"/>
              <w:rPr>
                <w:szCs w:val="20"/>
                <w:lang w:val="en-GB"/>
              </w:rPr>
            </w:pPr>
            <w:r w:rsidRPr="003E3DFC">
              <w:rPr>
                <w:szCs w:val="20"/>
                <w:lang w:val="en-GB"/>
              </w:rPr>
              <w:t>82.2</w:t>
            </w:r>
          </w:p>
        </w:tc>
        <w:tc>
          <w:tcPr>
            <w:tcW w:w="438" w:type="pct"/>
            <w:shd w:val="clear" w:color="auto" w:fill="auto"/>
            <w:tcMar>
              <w:top w:w="15" w:type="dxa"/>
              <w:left w:w="15" w:type="dxa"/>
              <w:bottom w:w="0" w:type="dxa"/>
              <w:right w:w="15" w:type="dxa"/>
            </w:tcMar>
            <w:vAlign w:val="center"/>
            <w:hideMark/>
          </w:tcPr>
          <w:p w14:paraId="7B8E31EC" w14:textId="77777777" w:rsidR="00B80334" w:rsidRPr="003E3DFC" w:rsidRDefault="00B80334" w:rsidP="007D31EC">
            <w:pPr>
              <w:pStyle w:val="NoSpacing"/>
              <w:jc w:val="center"/>
              <w:rPr>
                <w:szCs w:val="20"/>
                <w:lang w:val="en-GB"/>
              </w:rPr>
            </w:pPr>
            <w:r w:rsidRPr="003E3DFC">
              <w:rPr>
                <w:szCs w:val="20"/>
                <w:lang w:val="en-GB"/>
              </w:rPr>
              <w:t>26.5</w:t>
            </w:r>
          </w:p>
        </w:tc>
        <w:tc>
          <w:tcPr>
            <w:tcW w:w="438" w:type="pct"/>
            <w:shd w:val="clear" w:color="auto" w:fill="auto"/>
            <w:tcMar>
              <w:top w:w="15" w:type="dxa"/>
              <w:left w:w="15" w:type="dxa"/>
              <w:bottom w:w="0" w:type="dxa"/>
              <w:right w:w="15" w:type="dxa"/>
            </w:tcMar>
            <w:vAlign w:val="center"/>
            <w:hideMark/>
          </w:tcPr>
          <w:p w14:paraId="191E21F3" w14:textId="77777777" w:rsidR="00B80334" w:rsidRPr="003E3DFC" w:rsidRDefault="00B80334" w:rsidP="007D31EC">
            <w:pPr>
              <w:pStyle w:val="NoSpacing"/>
              <w:jc w:val="center"/>
              <w:rPr>
                <w:szCs w:val="20"/>
                <w:lang w:val="en-GB"/>
              </w:rPr>
            </w:pPr>
            <w:r w:rsidRPr="003E3DFC">
              <w:rPr>
                <w:szCs w:val="20"/>
                <w:lang w:val="en-GB"/>
              </w:rPr>
              <w:t>26.7</w:t>
            </w:r>
          </w:p>
        </w:tc>
        <w:tc>
          <w:tcPr>
            <w:tcW w:w="438" w:type="pct"/>
            <w:shd w:val="clear" w:color="auto" w:fill="auto"/>
            <w:tcMar>
              <w:top w:w="15" w:type="dxa"/>
              <w:left w:w="15" w:type="dxa"/>
              <w:bottom w:w="0" w:type="dxa"/>
              <w:right w:w="15" w:type="dxa"/>
            </w:tcMar>
            <w:vAlign w:val="center"/>
            <w:hideMark/>
          </w:tcPr>
          <w:p w14:paraId="34091A74" w14:textId="77777777" w:rsidR="00B80334" w:rsidRPr="003E3DFC" w:rsidRDefault="00B80334" w:rsidP="007D31EC">
            <w:pPr>
              <w:pStyle w:val="NoSpacing"/>
              <w:jc w:val="center"/>
              <w:rPr>
                <w:szCs w:val="20"/>
                <w:lang w:val="en-GB"/>
              </w:rPr>
            </w:pPr>
            <w:r w:rsidRPr="003E3DFC">
              <w:rPr>
                <w:szCs w:val="20"/>
                <w:lang w:val="en-GB"/>
              </w:rPr>
              <w:t>24.9</w:t>
            </w:r>
          </w:p>
        </w:tc>
        <w:tc>
          <w:tcPr>
            <w:tcW w:w="438" w:type="pct"/>
            <w:shd w:val="clear" w:color="auto" w:fill="auto"/>
            <w:tcMar>
              <w:top w:w="15" w:type="dxa"/>
              <w:left w:w="15" w:type="dxa"/>
              <w:bottom w:w="0" w:type="dxa"/>
              <w:right w:w="15" w:type="dxa"/>
            </w:tcMar>
            <w:vAlign w:val="center"/>
            <w:hideMark/>
          </w:tcPr>
          <w:p w14:paraId="5C48B04D" w14:textId="77777777" w:rsidR="00B80334" w:rsidRPr="003E3DFC" w:rsidRDefault="00B80334" w:rsidP="007D31EC">
            <w:pPr>
              <w:pStyle w:val="NoSpacing"/>
              <w:jc w:val="center"/>
              <w:rPr>
                <w:szCs w:val="20"/>
                <w:lang w:val="en-GB"/>
              </w:rPr>
            </w:pPr>
            <w:r w:rsidRPr="003E3DFC">
              <w:rPr>
                <w:szCs w:val="20"/>
                <w:lang w:val="en-GB"/>
              </w:rPr>
              <w:t>24.5</w:t>
            </w:r>
          </w:p>
        </w:tc>
        <w:tc>
          <w:tcPr>
            <w:tcW w:w="432" w:type="pct"/>
            <w:shd w:val="clear" w:color="auto" w:fill="auto"/>
            <w:tcMar>
              <w:top w:w="15" w:type="dxa"/>
              <w:left w:w="15" w:type="dxa"/>
              <w:bottom w:w="0" w:type="dxa"/>
              <w:right w:w="15" w:type="dxa"/>
            </w:tcMar>
            <w:vAlign w:val="center"/>
            <w:hideMark/>
          </w:tcPr>
          <w:p w14:paraId="6BA063D8" w14:textId="77777777" w:rsidR="00B80334" w:rsidRPr="003E3DFC" w:rsidRDefault="00B80334" w:rsidP="007D31EC">
            <w:pPr>
              <w:pStyle w:val="NoSpacing"/>
              <w:jc w:val="center"/>
              <w:rPr>
                <w:szCs w:val="20"/>
                <w:lang w:val="en-GB"/>
              </w:rPr>
            </w:pPr>
            <w:r w:rsidRPr="003E3DFC">
              <w:rPr>
                <w:szCs w:val="20"/>
                <w:lang w:val="en-GB"/>
              </w:rPr>
              <w:t>23.8</w:t>
            </w:r>
          </w:p>
        </w:tc>
      </w:tr>
      <w:tr w:rsidR="00B80334" w:rsidRPr="003E3DFC" w14:paraId="439D0FB4" w14:textId="77777777" w:rsidTr="00B80334">
        <w:trPr>
          <w:trHeight w:val="505"/>
        </w:trPr>
        <w:tc>
          <w:tcPr>
            <w:tcW w:w="626" w:type="pct"/>
            <w:shd w:val="clear" w:color="auto" w:fill="auto"/>
            <w:tcMar>
              <w:top w:w="15" w:type="dxa"/>
              <w:left w:w="15" w:type="dxa"/>
              <w:bottom w:w="0" w:type="dxa"/>
              <w:right w:w="15" w:type="dxa"/>
            </w:tcMar>
            <w:vAlign w:val="center"/>
            <w:hideMark/>
          </w:tcPr>
          <w:p w14:paraId="17566558" w14:textId="77777777" w:rsidR="00B80334" w:rsidRPr="003E3DFC" w:rsidRDefault="00B80334" w:rsidP="007D31EC">
            <w:pPr>
              <w:pStyle w:val="NoSpacing"/>
              <w:jc w:val="left"/>
              <w:rPr>
                <w:b/>
                <w:szCs w:val="20"/>
                <w:lang w:val="en-GB"/>
              </w:rPr>
            </w:pPr>
            <w:r w:rsidRPr="003E3DFC">
              <w:rPr>
                <w:b/>
                <w:szCs w:val="20"/>
                <w:lang w:val="en-GB"/>
              </w:rPr>
              <w:t>Men</w:t>
            </w:r>
          </w:p>
        </w:tc>
        <w:tc>
          <w:tcPr>
            <w:tcW w:w="438" w:type="pct"/>
            <w:shd w:val="clear" w:color="auto" w:fill="auto"/>
            <w:tcMar>
              <w:top w:w="15" w:type="dxa"/>
              <w:left w:w="15" w:type="dxa"/>
              <w:bottom w:w="0" w:type="dxa"/>
              <w:right w:w="15" w:type="dxa"/>
            </w:tcMar>
            <w:vAlign w:val="center"/>
            <w:hideMark/>
          </w:tcPr>
          <w:p w14:paraId="687AA1EE" w14:textId="77777777" w:rsidR="00B80334" w:rsidRPr="003E3DFC" w:rsidRDefault="00B80334" w:rsidP="007D31EC">
            <w:pPr>
              <w:pStyle w:val="NoSpacing"/>
              <w:jc w:val="center"/>
              <w:rPr>
                <w:szCs w:val="20"/>
                <w:lang w:val="en-GB"/>
              </w:rPr>
            </w:pPr>
            <w:r w:rsidRPr="003E3DFC">
              <w:rPr>
                <w:szCs w:val="20"/>
                <w:lang w:val="en-GB"/>
              </w:rPr>
              <w:t>82.5</w:t>
            </w:r>
          </w:p>
        </w:tc>
        <w:tc>
          <w:tcPr>
            <w:tcW w:w="438" w:type="pct"/>
            <w:shd w:val="clear" w:color="auto" w:fill="auto"/>
            <w:tcMar>
              <w:top w:w="15" w:type="dxa"/>
              <w:left w:w="15" w:type="dxa"/>
              <w:bottom w:w="0" w:type="dxa"/>
              <w:right w:w="15" w:type="dxa"/>
            </w:tcMar>
            <w:vAlign w:val="center"/>
            <w:hideMark/>
          </w:tcPr>
          <w:p w14:paraId="43A313CF" w14:textId="77777777" w:rsidR="00B80334" w:rsidRPr="003E3DFC" w:rsidRDefault="00B80334" w:rsidP="007D31EC">
            <w:pPr>
              <w:pStyle w:val="NoSpacing"/>
              <w:jc w:val="center"/>
              <w:rPr>
                <w:szCs w:val="20"/>
                <w:lang w:val="en-GB"/>
              </w:rPr>
            </w:pPr>
            <w:r w:rsidRPr="003E3DFC">
              <w:rPr>
                <w:szCs w:val="20"/>
                <w:lang w:val="en-GB"/>
              </w:rPr>
              <w:t>83.7</w:t>
            </w:r>
          </w:p>
        </w:tc>
        <w:tc>
          <w:tcPr>
            <w:tcW w:w="438" w:type="pct"/>
            <w:shd w:val="clear" w:color="auto" w:fill="auto"/>
            <w:tcMar>
              <w:top w:w="15" w:type="dxa"/>
              <w:left w:w="15" w:type="dxa"/>
              <w:bottom w:w="0" w:type="dxa"/>
              <w:right w:w="15" w:type="dxa"/>
            </w:tcMar>
            <w:vAlign w:val="center"/>
            <w:hideMark/>
          </w:tcPr>
          <w:p w14:paraId="623BB8B3" w14:textId="77777777" w:rsidR="00B80334" w:rsidRPr="003E3DFC" w:rsidRDefault="00B80334" w:rsidP="007D31EC">
            <w:pPr>
              <w:pStyle w:val="NoSpacing"/>
              <w:jc w:val="center"/>
              <w:rPr>
                <w:szCs w:val="20"/>
                <w:lang w:val="en-GB"/>
              </w:rPr>
            </w:pPr>
            <w:r w:rsidRPr="003E3DFC">
              <w:rPr>
                <w:szCs w:val="20"/>
                <w:lang w:val="en-GB"/>
              </w:rPr>
              <w:t>83.6</w:t>
            </w:r>
          </w:p>
        </w:tc>
        <w:tc>
          <w:tcPr>
            <w:tcW w:w="438" w:type="pct"/>
            <w:shd w:val="clear" w:color="auto" w:fill="auto"/>
            <w:tcMar>
              <w:top w:w="15" w:type="dxa"/>
              <w:left w:w="15" w:type="dxa"/>
              <w:bottom w:w="0" w:type="dxa"/>
              <w:right w:w="15" w:type="dxa"/>
            </w:tcMar>
            <w:vAlign w:val="center"/>
            <w:hideMark/>
          </w:tcPr>
          <w:p w14:paraId="28299654" w14:textId="77777777" w:rsidR="00B80334" w:rsidRPr="003E3DFC" w:rsidRDefault="00B80334" w:rsidP="007D31EC">
            <w:pPr>
              <w:pStyle w:val="NoSpacing"/>
              <w:jc w:val="center"/>
              <w:rPr>
                <w:szCs w:val="20"/>
                <w:lang w:val="en-GB"/>
              </w:rPr>
            </w:pPr>
            <w:r w:rsidRPr="003E3DFC">
              <w:rPr>
                <w:szCs w:val="20"/>
                <w:lang w:val="en-GB"/>
              </w:rPr>
              <w:t>83.0</w:t>
            </w:r>
          </w:p>
        </w:tc>
        <w:tc>
          <w:tcPr>
            <w:tcW w:w="438" w:type="pct"/>
            <w:shd w:val="clear" w:color="auto" w:fill="auto"/>
            <w:tcMar>
              <w:top w:w="15" w:type="dxa"/>
              <w:left w:w="15" w:type="dxa"/>
              <w:bottom w:w="0" w:type="dxa"/>
              <w:right w:w="15" w:type="dxa"/>
            </w:tcMar>
            <w:vAlign w:val="center"/>
            <w:hideMark/>
          </w:tcPr>
          <w:p w14:paraId="5E78CC30" w14:textId="77777777" w:rsidR="00B80334" w:rsidRPr="003E3DFC" w:rsidRDefault="00B80334" w:rsidP="007D31EC">
            <w:pPr>
              <w:pStyle w:val="NoSpacing"/>
              <w:jc w:val="center"/>
              <w:rPr>
                <w:szCs w:val="20"/>
                <w:lang w:val="en-GB"/>
              </w:rPr>
            </w:pPr>
            <w:r w:rsidRPr="003E3DFC">
              <w:rPr>
                <w:szCs w:val="20"/>
                <w:lang w:val="en-GB"/>
              </w:rPr>
              <w:t>82.7</w:t>
            </w:r>
          </w:p>
        </w:tc>
        <w:tc>
          <w:tcPr>
            <w:tcW w:w="438" w:type="pct"/>
            <w:shd w:val="clear" w:color="auto" w:fill="auto"/>
            <w:tcMar>
              <w:top w:w="15" w:type="dxa"/>
              <w:left w:w="15" w:type="dxa"/>
              <w:bottom w:w="0" w:type="dxa"/>
              <w:right w:w="15" w:type="dxa"/>
            </w:tcMar>
            <w:vAlign w:val="center"/>
            <w:hideMark/>
          </w:tcPr>
          <w:p w14:paraId="5B3E25B4" w14:textId="77777777" w:rsidR="00B80334" w:rsidRPr="003E3DFC" w:rsidRDefault="00B80334" w:rsidP="007D31EC">
            <w:pPr>
              <w:pStyle w:val="NoSpacing"/>
              <w:jc w:val="center"/>
              <w:rPr>
                <w:szCs w:val="20"/>
                <w:lang w:val="en-GB"/>
              </w:rPr>
            </w:pPr>
            <w:r w:rsidRPr="003E3DFC">
              <w:rPr>
                <w:szCs w:val="20"/>
                <w:lang w:val="en-GB"/>
              </w:rPr>
              <w:t>26.2</w:t>
            </w:r>
          </w:p>
        </w:tc>
        <w:tc>
          <w:tcPr>
            <w:tcW w:w="438" w:type="pct"/>
            <w:shd w:val="clear" w:color="auto" w:fill="auto"/>
            <w:tcMar>
              <w:top w:w="15" w:type="dxa"/>
              <w:left w:w="15" w:type="dxa"/>
              <w:bottom w:w="0" w:type="dxa"/>
              <w:right w:w="15" w:type="dxa"/>
            </w:tcMar>
            <w:vAlign w:val="center"/>
            <w:hideMark/>
          </w:tcPr>
          <w:p w14:paraId="7A39432D" w14:textId="77777777" w:rsidR="00B80334" w:rsidRPr="003E3DFC" w:rsidRDefault="00B80334" w:rsidP="007D31EC">
            <w:pPr>
              <w:pStyle w:val="NoSpacing"/>
              <w:jc w:val="center"/>
              <w:rPr>
                <w:szCs w:val="20"/>
                <w:lang w:val="en-GB"/>
              </w:rPr>
            </w:pPr>
            <w:r w:rsidRPr="003E3DFC">
              <w:rPr>
                <w:szCs w:val="20"/>
                <w:lang w:val="en-GB"/>
              </w:rPr>
              <w:t>26.7</w:t>
            </w:r>
          </w:p>
        </w:tc>
        <w:tc>
          <w:tcPr>
            <w:tcW w:w="438" w:type="pct"/>
            <w:shd w:val="clear" w:color="auto" w:fill="auto"/>
            <w:tcMar>
              <w:top w:w="15" w:type="dxa"/>
              <w:left w:w="15" w:type="dxa"/>
              <w:bottom w:w="0" w:type="dxa"/>
              <w:right w:w="15" w:type="dxa"/>
            </w:tcMar>
            <w:vAlign w:val="center"/>
            <w:hideMark/>
          </w:tcPr>
          <w:p w14:paraId="01D31EEC" w14:textId="77777777" w:rsidR="00B80334" w:rsidRPr="003E3DFC" w:rsidRDefault="00B80334" w:rsidP="007D31EC">
            <w:pPr>
              <w:pStyle w:val="NoSpacing"/>
              <w:jc w:val="center"/>
              <w:rPr>
                <w:szCs w:val="20"/>
                <w:lang w:val="en-GB"/>
              </w:rPr>
            </w:pPr>
            <w:r w:rsidRPr="003E3DFC">
              <w:rPr>
                <w:szCs w:val="20"/>
                <w:lang w:val="en-GB"/>
              </w:rPr>
              <w:t>26.6</w:t>
            </w:r>
          </w:p>
        </w:tc>
        <w:tc>
          <w:tcPr>
            <w:tcW w:w="438" w:type="pct"/>
            <w:shd w:val="clear" w:color="auto" w:fill="auto"/>
            <w:tcMar>
              <w:top w:w="15" w:type="dxa"/>
              <w:left w:w="15" w:type="dxa"/>
              <w:bottom w:w="0" w:type="dxa"/>
              <w:right w:w="15" w:type="dxa"/>
            </w:tcMar>
            <w:vAlign w:val="center"/>
            <w:hideMark/>
          </w:tcPr>
          <w:p w14:paraId="1B55E3BB" w14:textId="77777777" w:rsidR="00B80334" w:rsidRPr="003E3DFC" w:rsidRDefault="00B80334" w:rsidP="007D31EC">
            <w:pPr>
              <w:pStyle w:val="NoSpacing"/>
              <w:jc w:val="center"/>
              <w:rPr>
                <w:szCs w:val="20"/>
                <w:lang w:val="en-GB"/>
              </w:rPr>
            </w:pPr>
            <w:r w:rsidRPr="003E3DFC">
              <w:rPr>
                <w:szCs w:val="20"/>
                <w:lang w:val="en-GB"/>
              </w:rPr>
              <w:t>26.1</w:t>
            </w:r>
          </w:p>
        </w:tc>
        <w:tc>
          <w:tcPr>
            <w:tcW w:w="432" w:type="pct"/>
            <w:shd w:val="clear" w:color="auto" w:fill="auto"/>
            <w:tcMar>
              <w:top w:w="15" w:type="dxa"/>
              <w:left w:w="15" w:type="dxa"/>
              <w:bottom w:w="0" w:type="dxa"/>
              <w:right w:w="15" w:type="dxa"/>
            </w:tcMar>
            <w:vAlign w:val="center"/>
            <w:hideMark/>
          </w:tcPr>
          <w:p w14:paraId="490E45EA" w14:textId="77777777" w:rsidR="00B80334" w:rsidRPr="003E3DFC" w:rsidRDefault="00B80334" w:rsidP="007D31EC">
            <w:pPr>
              <w:pStyle w:val="NoSpacing"/>
              <w:jc w:val="center"/>
              <w:rPr>
                <w:szCs w:val="20"/>
                <w:lang w:val="en-GB"/>
              </w:rPr>
            </w:pPr>
            <w:r w:rsidRPr="003E3DFC">
              <w:rPr>
                <w:szCs w:val="20"/>
                <w:lang w:val="en-GB"/>
              </w:rPr>
              <w:t>24.0</w:t>
            </w:r>
          </w:p>
        </w:tc>
      </w:tr>
      <w:tr w:rsidR="007542B0" w:rsidRPr="003E3DFC" w14:paraId="7E1DD171" w14:textId="77777777" w:rsidTr="00B80334">
        <w:trPr>
          <w:trHeight w:val="505"/>
        </w:trPr>
        <w:tc>
          <w:tcPr>
            <w:tcW w:w="626" w:type="pct"/>
            <w:shd w:val="clear" w:color="auto" w:fill="auto"/>
            <w:tcMar>
              <w:top w:w="15" w:type="dxa"/>
              <w:left w:w="15" w:type="dxa"/>
              <w:bottom w:w="0" w:type="dxa"/>
              <w:right w:w="15" w:type="dxa"/>
            </w:tcMar>
            <w:vAlign w:val="center"/>
            <w:hideMark/>
          </w:tcPr>
          <w:p w14:paraId="333B27AB" w14:textId="77777777" w:rsidR="007542B0" w:rsidRPr="003E3DFC" w:rsidRDefault="007542B0" w:rsidP="007542B0">
            <w:pPr>
              <w:pStyle w:val="NoSpacing"/>
              <w:jc w:val="left"/>
              <w:rPr>
                <w:b/>
                <w:szCs w:val="20"/>
                <w:lang w:val="en-GB"/>
              </w:rPr>
            </w:pPr>
            <w:r w:rsidRPr="003E3DFC">
              <w:rPr>
                <w:b/>
                <w:szCs w:val="20"/>
                <w:lang w:val="en-GB"/>
              </w:rPr>
              <w:t>Total</w:t>
            </w:r>
          </w:p>
        </w:tc>
        <w:tc>
          <w:tcPr>
            <w:tcW w:w="438" w:type="pct"/>
            <w:shd w:val="clear" w:color="auto" w:fill="auto"/>
            <w:tcMar>
              <w:top w:w="15" w:type="dxa"/>
              <w:left w:w="15" w:type="dxa"/>
              <w:bottom w:w="0" w:type="dxa"/>
              <w:right w:w="15" w:type="dxa"/>
            </w:tcMar>
            <w:vAlign w:val="center"/>
            <w:hideMark/>
          </w:tcPr>
          <w:p w14:paraId="7F6D97B2" w14:textId="77777777" w:rsidR="007542B0" w:rsidRPr="003E3DFC" w:rsidRDefault="007542B0" w:rsidP="007542B0">
            <w:pPr>
              <w:pStyle w:val="NoSpacing"/>
              <w:jc w:val="center"/>
              <w:rPr>
                <w:szCs w:val="20"/>
                <w:lang w:val="en-GB"/>
              </w:rPr>
            </w:pPr>
            <w:r w:rsidRPr="003E3DFC">
              <w:rPr>
                <w:szCs w:val="20"/>
                <w:lang w:val="en-GB"/>
              </w:rPr>
              <w:t>81.9</w:t>
            </w:r>
          </w:p>
        </w:tc>
        <w:tc>
          <w:tcPr>
            <w:tcW w:w="438" w:type="pct"/>
            <w:shd w:val="clear" w:color="auto" w:fill="auto"/>
            <w:tcMar>
              <w:top w:w="15" w:type="dxa"/>
              <w:left w:w="15" w:type="dxa"/>
              <w:bottom w:w="0" w:type="dxa"/>
              <w:right w:w="15" w:type="dxa"/>
            </w:tcMar>
            <w:vAlign w:val="center"/>
            <w:hideMark/>
          </w:tcPr>
          <w:p w14:paraId="2A6179EE" w14:textId="77777777" w:rsidR="007542B0" w:rsidRPr="003E3DFC" w:rsidRDefault="007542B0" w:rsidP="007542B0">
            <w:pPr>
              <w:pStyle w:val="NoSpacing"/>
              <w:jc w:val="center"/>
              <w:rPr>
                <w:szCs w:val="20"/>
                <w:lang w:val="en-GB"/>
              </w:rPr>
            </w:pPr>
            <w:r w:rsidRPr="003E3DFC">
              <w:rPr>
                <w:szCs w:val="20"/>
                <w:lang w:val="en-GB"/>
              </w:rPr>
              <w:t>83.3</w:t>
            </w:r>
          </w:p>
        </w:tc>
        <w:tc>
          <w:tcPr>
            <w:tcW w:w="438" w:type="pct"/>
            <w:shd w:val="clear" w:color="auto" w:fill="auto"/>
            <w:tcMar>
              <w:top w:w="15" w:type="dxa"/>
              <w:left w:w="15" w:type="dxa"/>
              <w:bottom w:w="0" w:type="dxa"/>
              <w:right w:w="15" w:type="dxa"/>
            </w:tcMar>
            <w:vAlign w:val="center"/>
            <w:hideMark/>
          </w:tcPr>
          <w:p w14:paraId="788F7972" w14:textId="77777777" w:rsidR="007542B0" w:rsidRPr="003E3DFC" w:rsidRDefault="007542B0" w:rsidP="007542B0">
            <w:pPr>
              <w:pStyle w:val="NoSpacing"/>
              <w:jc w:val="center"/>
              <w:rPr>
                <w:szCs w:val="20"/>
                <w:lang w:val="en-GB"/>
              </w:rPr>
            </w:pPr>
            <w:r w:rsidRPr="003E3DFC">
              <w:rPr>
                <w:szCs w:val="20"/>
                <w:lang w:val="en-GB"/>
              </w:rPr>
              <w:t>82.6</w:t>
            </w:r>
          </w:p>
        </w:tc>
        <w:tc>
          <w:tcPr>
            <w:tcW w:w="438" w:type="pct"/>
            <w:shd w:val="clear" w:color="auto" w:fill="auto"/>
            <w:tcMar>
              <w:top w:w="15" w:type="dxa"/>
              <w:left w:w="15" w:type="dxa"/>
              <w:bottom w:w="0" w:type="dxa"/>
              <w:right w:w="15" w:type="dxa"/>
            </w:tcMar>
            <w:vAlign w:val="center"/>
            <w:hideMark/>
          </w:tcPr>
          <w:p w14:paraId="33331063" w14:textId="77777777" w:rsidR="007542B0" w:rsidRPr="003E3DFC" w:rsidRDefault="007542B0" w:rsidP="007542B0">
            <w:pPr>
              <w:pStyle w:val="NoSpacing"/>
              <w:jc w:val="center"/>
              <w:rPr>
                <w:szCs w:val="20"/>
                <w:lang w:val="en-GB"/>
              </w:rPr>
            </w:pPr>
            <w:r w:rsidRPr="003E3DFC">
              <w:rPr>
                <w:szCs w:val="20"/>
                <w:lang w:val="en-GB"/>
              </w:rPr>
              <w:t>82.1</w:t>
            </w:r>
          </w:p>
        </w:tc>
        <w:tc>
          <w:tcPr>
            <w:tcW w:w="438" w:type="pct"/>
            <w:shd w:val="clear" w:color="auto" w:fill="auto"/>
            <w:tcMar>
              <w:top w:w="15" w:type="dxa"/>
              <w:left w:w="15" w:type="dxa"/>
              <w:bottom w:w="0" w:type="dxa"/>
              <w:right w:w="15" w:type="dxa"/>
            </w:tcMar>
            <w:vAlign w:val="center"/>
            <w:hideMark/>
          </w:tcPr>
          <w:p w14:paraId="4908771D" w14:textId="77777777" w:rsidR="007542B0" w:rsidRPr="003E3DFC" w:rsidRDefault="007542B0" w:rsidP="007542B0">
            <w:pPr>
              <w:pStyle w:val="NoSpacing"/>
              <w:jc w:val="center"/>
              <w:rPr>
                <w:szCs w:val="20"/>
                <w:lang w:val="en-GB"/>
              </w:rPr>
            </w:pPr>
            <w:r w:rsidRPr="003E3DFC">
              <w:rPr>
                <w:szCs w:val="20"/>
                <w:lang w:val="en-GB"/>
              </w:rPr>
              <w:t>82.5</w:t>
            </w:r>
          </w:p>
        </w:tc>
        <w:tc>
          <w:tcPr>
            <w:tcW w:w="438" w:type="pct"/>
            <w:shd w:val="clear" w:color="auto" w:fill="auto"/>
            <w:tcMar>
              <w:top w:w="15" w:type="dxa"/>
              <w:left w:w="15" w:type="dxa"/>
              <w:bottom w:w="0" w:type="dxa"/>
              <w:right w:w="15" w:type="dxa"/>
            </w:tcMar>
            <w:vAlign w:val="center"/>
            <w:hideMark/>
          </w:tcPr>
          <w:p w14:paraId="64CE6282" w14:textId="77777777" w:rsidR="007542B0" w:rsidRPr="003E3DFC" w:rsidRDefault="007542B0" w:rsidP="007542B0">
            <w:pPr>
              <w:pStyle w:val="NoSpacing"/>
              <w:jc w:val="center"/>
              <w:rPr>
                <w:szCs w:val="20"/>
                <w:lang w:val="en-GB"/>
              </w:rPr>
            </w:pPr>
            <w:r w:rsidRPr="003E3DFC">
              <w:rPr>
                <w:szCs w:val="20"/>
                <w:lang w:val="en-GB"/>
              </w:rPr>
              <w:t>26.3</w:t>
            </w:r>
          </w:p>
        </w:tc>
        <w:tc>
          <w:tcPr>
            <w:tcW w:w="438" w:type="pct"/>
            <w:shd w:val="clear" w:color="auto" w:fill="auto"/>
            <w:tcMar>
              <w:top w:w="15" w:type="dxa"/>
              <w:left w:w="15" w:type="dxa"/>
              <w:bottom w:w="0" w:type="dxa"/>
              <w:right w:w="15" w:type="dxa"/>
            </w:tcMar>
            <w:vAlign w:val="center"/>
            <w:hideMark/>
          </w:tcPr>
          <w:p w14:paraId="5CA6004C" w14:textId="77777777" w:rsidR="007542B0" w:rsidRPr="003E3DFC" w:rsidRDefault="007542B0" w:rsidP="007542B0">
            <w:pPr>
              <w:pStyle w:val="NoSpacing"/>
              <w:jc w:val="center"/>
              <w:rPr>
                <w:szCs w:val="20"/>
                <w:lang w:val="en-GB"/>
              </w:rPr>
            </w:pPr>
            <w:r w:rsidRPr="003E3DFC">
              <w:rPr>
                <w:szCs w:val="20"/>
                <w:lang w:val="en-GB"/>
              </w:rPr>
              <w:t>26.7</w:t>
            </w:r>
          </w:p>
        </w:tc>
        <w:tc>
          <w:tcPr>
            <w:tcW w:w="438" w:type="pct"/>
            <w:shd w:val="clear" w:color="auto" w:fill="auto"/>
            <w:tcMar>
              <w:top w:w="15" w:type="dxa"/>
              <w:left w:w="15" w:type="dxa"/>
              <w:bottom w:w="0" w:type="dxa"/>
              <w:right w:w="15" w:type="dxa"/>
            </w:tcMar>
            <w:vAlign w:val="center"/>
            <w:hideMark/>
          </w:tcPr>
          <w:p w14:paraId="6766531A" w14:textId="77777777" w:rsidR="007542B0" w:rsidRPr="003E3DFC" w:rsidRDefault="007542B0" w:rsidP="007542B0">
            <w:pPr>
              <w:pStyle w:val="NoSpacing"/>
              <w:jc w:val="center"/>
              <w:rPr>
                <w:szCs w:val="20"/>
                <w:lang w:val="en-GB"/>
              </w:rPr>
            </w:pPr>
            <w:r w:rsidRPr="003E3DFC">
              <w:rPr>
                <w:szCs w:val="20"/>
                <w:lang w:val="en-GB"/>
              </w:rPr>
              <w:t>25.9</w:t>
            </w:r>
          </w:p>
        </w:tc>
        <w:tc>
          <w:tcPr>
            <w:tcW w:w="438" w:type="pct"/>
            <w:shd w:val="clear" w:color="auto" w:fill="auto"/>
            <w:tcMar>
              <w:top w:w="15" w:type="dxa"/>
              <w:left w:w="15" w:type="dxa"/>
              <w:bottom w:w="0" w:type="dxa"/>
              <w:right w:w="15" w:type="dxa"/>
            </w:tcMar>
            <w:vAlign w:val="center"/>
            <w:hideMark/>
          </w:tcPr>
          <w:p w14:paraId="5B8EF113" w14:textId="77777777" w:rsidR="007542B0" w:rsidRPr="003E3DFC" w:rsidRDefault="007542B0" w:rsidP="007542B0">
            <w:pPr>
              <w:pStyle w:val="NoSpacing"/>
              <w:jc w:val="center"/>
              <w:rPr>
                <w:szCs w:val="20"/>
                <w:lang w:val="en-GB"/>
              </w:rPr>
            </w:pPr>
            <w:r w:rsidRPr="003E3DFC">
              <w:rPr>
                <w:szCs w:val="20"/>
                <w:lang w:val="en-GB"/>
              </w:rPr>
              <w:t>25.5</w:t>
            </w:r>
          </w:p>
        </w:tc>
        <w:tc>
          <w:tcPr>
            <w:tcW w:w="432" w:type="pct"/>
            <w:shd w:val="clear" w:color="auto" w:fill="auto"/>
            <w:tcMar>
              <w:top w:w="15" w:type="dxa"/>
              <w:left w:w="15" w:type="dxa"/>
              <w:bottom w:w="0" w:type="dxa"/>
              <w:right w:w="15" w:type="dxa"/>
            </w:tcMar>
            <w:vAlign w:val="center"/>
            <w:hideMark/>
          </w:tcPr>
          <w:p w14:paraId="15C33D92" w14:textId="77777777" w:rsidR="007542B0" w:rsidRPr="003E3DFC" w:rsidRDefault="007542B0" w:rsidP="007542B0">
            <w:pPr>
              <w:pStyle w:val="NoSpacing"/>
              <w:jc w:val="center"/>
              <w:rPr>
                <w:szCs w:val="20"/>
                <w:lang w:val="en-GB"/>
              </w:rPr>
            </w:pPr>
            <w:r w:rsidRPr="003E3DFC">
              <w:rPr>
                <w:szCs w:val="20"/>
                <w:lang w:val="en-GB"/>
              </w:rPr>
              <w:t>23.9</w:t>
            </w:r>
          </w:p>
        </w:tc>
      </w:tr>
      <w:tr w:rsidR="007542B0" w:rsidRPr="003E3DFC" w14:paraId="18904409" w14:textId="77777777" w:rsidTr="007542B0">
        <w:trPr>
          <w:trHeight w:val="505"/>
        </w:trPr>
        <w:tc>
          <w:tcPr>
            <w:tcW w:w="5000" w:type="pct"/>
            <w:gridSpan w:val="11"/>
            <w:shd w:val="clear" w:color="auto" w:fill="auto"/>
            <w:tcMar>
              <w:top w:w="15" w:type="dxa"/>
              <w:left w:w="15" w:type="dxa"/>
              <w:bottom w:w="0" w:type="dxa"/>
              <w:right w:w="15" w:type="dxa"/>
            </w:tcMar>
            <w:vAlign w:val="center"/>
          </w:tcPr>
          <w:p w14:paraId="59B4487A" w14:textId="77777777" w:rsidR="007542B0" w:rsidRPr="003E3DFC" w:rsidRDefault="007542B0" w:rsidP="007542B0">
            <w:pPr>
              <w:pStyle w:val="NoSpacing"/>
              <w:jc w:val="left"/>
              <w:rPr>
                <w:sz w:val="16"/>
                <w:lang w:val="en-GB"/>
              </w:rPr>
            </w:pPr>
            <w:r w:rsidRPr="003E3DFC">
              <w:rPr>
                <w:sz w:val="16"/>
                <w:vertAlign w:val="superscript"/>
                <w:lang w:val="en-GB"/>
              </w:rPr>
              <w:t>1)</w:t>
            </w:r>
            <w:r w:rsidRPr="003E3DFC">
              <w:rPr>
                <w:sz w:val="16"/>
                <w:lang w:val="en-GB"/>
              </w:rPr>
              <w:t xml:space="preserve"> Long-term unemployment - unemployed persons for one year or more.</w:t>
            </w:r>
          </w:p>
          <w:p w14:paraId="744D553F" w14:textId="77777777" w:rsidR="007542B0" w:rsidRPr="003E3DFC" w:rsidRDefault="007542B0" w:rsidP="007542B0">
            <w:pPr>
              <w:pStyle w:val="NoSpacing"/>
              <w:jc w:val="left"/>
              <w:rPr>
                <w:sz w:val="16"/>
                <w:lang w:val="en-GB"/>
              </w:rPr>
            </w:pPr>
            <w:r w:rsidRPr="003E3DFC">
              <w:rPr>
                <w:sz w:val="16"/>
                <w:vertAlign w:val="superscript"/>
                <w:lang w:val="en-GB"/>
              </w:rPr>
              <w:t xml:space="preserve">2) </w:t>
            </w:r>
            <w:r w:rsidRPr="003E3DFC">
              <w:rPr>
                <w:sz w:val="16"/>
                <w:lang w:val="en-GB"/>
              </w:rPr>
              <w:t>% of long-term unemployment - share of unemployed persons for one year or more in the total number of unemployed persons.</w:t>
            </w:r>
          </w:p>
          <w:p w14:paraId="55CC456D" w14:textId="77777777" w:rsidR="007542B0" w:rsidRPr="003E3DFC" w:rsidRDefault="007542B0" w:rsidP="007542B0">
            <w:pPr>
              <w:pStyle w:val="NoSpacing"/>
              <w:jc w:val="left"/>
              <w:rPr>
                <w:lang w:val="en-GB"/>
              </w:rPr>
            </w:pPr>
            <w:r w:rsidRPr="003E3DFC">
              <w:rPr>
                <w:sz w:val="16"/>
                <w:vertAlign w:val="superscript"/>
                <w:lang w:val="en-GB"/>
              </w:rPr>
              <w:t xml:space="preserve">3) </w:t>
            </w:r>
            <w:r w:rsidRPr="003E3DFC">
              <w:rPr>
                <w:sz w:val="16"/>
                <w:lang w:val="en-GB"/>
              </w:rPr>
              <w:t xml:space="preserve">Long-term unemployment rate - share of unemployed persons for one year or more in the total </w:t>
            </w:r>
            <w:r w:rsidR="00266D8E" w:rsidRPr="003E3DFC">
              <w:rPr>
                <w:sz w:val="16"/>
                <w:lang w:val="en-GB"/>
              </w:rPr>
              <w:t>labour</w:t>
            </w:r>
            <w:r w:rsidRPr="003E3DFC">
              <w:rPr>
                <w:sz w:val="16"/>
                <w:lang w:val="en-GB"/>
              </w:rPr>
              <w:t xml:space="preserve"> force.</w:t>
            </w:r>
          </w:p>
        </w:tc>
      </w:tr>
    </w:tbl>
    <w:p w14:paraId="718ED426" w14:textId="77777777" w:rsidR="007542B0" w:rsidRPr="003E3DFC" w:rsidRDefault="007542B0" w:rsidP="0088150B">
      <w:pPr>
        <w:pStyle w:val="NoSpacing"/>
        <w:rPr>
          <w:lang w:val="en-GB"/>
        </w:rPr>
      </w:pPr>
      <w:r w:rsidRPr="003E3DFC">
        <w:rPr>
          <w:lang w:val="en-GB"/>
        </w:rPr>
        <w:t xml:space="preserve">Source: LFS, State Statistical Office of the </w:t>
      </w:r>
      <w:r w:rsidR="00C30864" w:rsidRPr="003E3DFC">
        <w:rPr>
          <w:lang w:val="en-GB"/>
        </w:rPr>
        <w:t>R. of Macedonia</w:t>
      </w:r>
    </w:p>
    <w:p w14:paraId="038FCFCA" w14:textId="3F233A2C" w:rsidR="00194D93" w:rsidRDefault="002F35B8" w:rsidP="00194D93">
      <w:pPr>
        <w:pStyle w:val="Heading1"/>
      </w:pPr>
      <w:r w:rsidRPr="003E3DFC">
        <w:t xml:space="preserve">Causes </w:t>
      </w:r>
      <w:r w:rsidR="00C84DF5" w:rsidRPr="003E3DFC">
        <w:t xml:space="preserve">and Challenges </w:t>
      </w:r>
      <w:r w:rsidRPr="003E3DFC">
        <w:t>of Female Unemployment</w:t>
      </w:r>
      <w:r w:rsidR="006215AB" w:rsidRPr="003E3DFC">
        <w:t xml:space="preserve"> in </w:t>
      </w:r>
      <w:r w:rsidR="00C30864" w:rsidRPr="003E3DFC">
        <w:t>R. of Macedonia</w:t>
      </w:r>
    </w:p>
    <w:p w14:paraId="2B8069BA" w14:textId="77777777" w:rsidR="00194D93" w:rsidRDefault="00194D93" w:rsidP="0088150B">
      <w:pPr>
        <w:pStyle w:val="NoSpacing"/>
        <w:rPr>
          <w:lang w:val="en-GB"/>
        </w:rPr>
      </w:pPr>
    </w:p>
    <w:p w14:paraId="7DF50798" w14:textId="3693724A" w:rsidR="0081429E" w:rsidRPr="003E3DFC" w:rsidRDefault="0081429E" w:rsidP="0088150B">
      <w:pPr>
        <w:pStyle w:val="NoSpacing"/>
        <w:rPr>
          <w:lang w:val="en-GB"/>
        </w:rPr>
      </w:pPr>
      <w:r w:rsidRPr="003E3DFC">
        <w:rPr>
          <w:lang w:val="en-GB"/>
        </w:rPr>
        <w:t>Gender based u</w:t>
      </w:r>
      <w:r w:rsidR="006215AB" w:rsidRPr="003E3DFC">
        <w:rPr>
          <w:lang w:val="en-GB"/>
        </w:rPr>
        <w:t>nemployment is vastly studied and discussed in literature, and does as such not present a new or unexplored area, and high unemployment levels is rarely attributed to a single factor</w:t>
      </w:r>
      <w:r w:rsidRPr="003E3DFC">
        <w:rPr>
          <w:lang w:val="en-GB"/>
        </w:rPr>
        <w:t xml:space="preserve"> regardless of the study perspective such as based on gender, age, and so on</w:t>
      </w:r>
      <w:r w:rsidR="006215AB" w:rsidRPr="003E3DFC">
        <w:rPr>
          <w:lang w:val="en-GB"/>
        </w:rPr>
        <w:t xml:space="preserve">. </w:t>
      </w:r>
      <w:r w:rsidR="00AF0ED0" w:rsidRPr="003E3DFC">
        <w:rPr>
          <w:lang w:val="en-GB"/>
        </w:rPr>
        <w:t xml:space="preserve">Hence, </w:t>
      </w:r>
      <w:r w:rsidRPr="003E3DFC">
        <w:rPr>
          <w:lang w:val="en-GB"/>
        </w:rPr>
        <w:t>the cause</w:t>
      </w:r>
      <w:r w:rsidR="00A80198" w:rsidRPr="003E3DFC">
        <w:rPr>
          <w:lang w:val="en-GB"/>
        </w:rPr>
        <w:t>s</w:t>
      </w:r>
      <w:r w:rsidRPr="003E3DFC">
        <w:rPr>
          <w:lang w:val="en-GB"/>
        </w:rPr>
        <w:t xml:space="preserve"> of unemployment are relatively known and widely accepted, and often characterised as being, frictional, structural, voluntary, etc. Having said that, and without going into much detail on this, it is </w:t>
      </w:r>
      <w:r w:rsidR="00C84DF5" w:rsidRPr="003E3DFC">
        <w:rPr>
          <w:lang w:val="en-GB"/>
        </w:rPr>
        <w:t xml:space="preserve">from available material </w:t>
      </w:r>
      <w:r w:rsidRPr="003E3DFC">
        <w:rPr>
          <w:lang w:val="en-GB"/>
        </w:rPr>
        <w:t xml:space="preserve">clear that </w:t>
      </w:r>
      <w:r w:rsidR="00591C91" w:rsidRPr="003E3DFC">
        <w:rPr>
          <w:lang w:val="en-GB"/>
        </w:rPr>
        <w:t xml:space="preserve">limited understanding and research is available to really understand the nature and causes of female unemployment </w:t>
      </w:r>
      <w:r w:rsidR="00C84DF5" w:rsidRPr="003E3DFC">
        <w:rPr>
          <w:lang w:val="en-GB"/>
        </w:rPr>
        <w:t>in the specific context of</w:t>
      </w:r>
      <w:r w:rsidR="00591C91" w:rsidRPr="003E3DFC">
        <w:rPr>
          <w:lang w:val="en-GB"/>
        </w:rPr>
        <w:t xml:space="preserve"> the </w:t>
      </w:r>
      <w:r w:rsidR="00C30864" w:rsidRPr="003E3DFC">
        <w:rPr>
          <w:lang w:val="en-GB"/>
        </w:rPr>
        <w:t>R. of Macedonia</w:t>
      </w:r>
      <w:r w:rsidR="00C84DF5" w:rsidRPr="003E3DFC">
        <w:rPr>
          <w:lang w:val="en-GB"/>
        </w:rPr>
        <w:t>. T</w:t>
      </w:r>
      <w:r w:rsidR="00591C91" w:rsidRPr="003E3DFC">
        <w:rPr>
          <w:lang w:val="en-GB"/>
        </w:rPr>
        <w:t>his area</w:t>
      </w:r>
      <w:r w:rsidR="00A80198" w:rsidRPr="003E3DFC">
        <w:rPr>
          <w:lang w:val="en-GB"/>
        </w:rPr>
        <w:t xml:space="preserve"> </w:t>
      </w:r>
      <w:r w:rsidR="00591C91" w:rsidRPr="003E3DFC">
        <w:rPr>
          <w:lang w:val="en-GB"/>
        </w:rPr>
        <w:t>is perceived st</w:t>
      </w:r>
      <w:r w:rsidR="00C84DF5" w:rsidRPr="003E3DFC">
        <w:rPr>
          <w:lang w:val="en-GB"/>
        </w:rPr>
        <w:t>ill as unexplored to the detail</w:t>
      </w:r>
      <w:r w:rsidR="00591C91" w:rsidRPr="003E3DFC">
        <w:rPr>
          <w:lang w:val="en-GB"/>
        </w:rPr>
        <w:t xml:space="preserve"> </w:t>
      </w:r>
      <w:r w:rsidR="00C84DF5" w:rsidRPr="003E3DFC">
        <w:rPr>
          <w:lang w:val="en-GB"/>
        </w:rPr>
        <w:t>that it can be addressed properly and efficiently. M</w:t>
      </w:r>
      <w:r w:rsidR="00591C91" w:rsidRPr="003E3DFC">
        <w:rPr>
          <w:lang w:val="en-GB"/>
        </w:rPr>
        <w:t xml:space="preserve">uch further research is needed to understand the causes and challenges </w:t>
      </w:r>
      <w:r w:rsidR="00C84DF5" w:rsidRPr="003E3DFC">
        <w:rPr>
          <w:lang w:val="en-GB"/>
        </w:rPr>
        <w:t>of</w:t>
      </w:r>
      <w:r w:rsidR="00591C91" w:rsidRPr="003E3DFC">
        <w:rPr>
          <w:lang w:val="en-GB"/>
        </w:rPr>
        <w:t xml:space="preserve"> female unemployment in the </w:t>
      </w:r>
      <w:r w:rsidR="00C30864" w:rsidRPr="003E3DFC">
        <w:rPr>
          <w:lang w:val="en-GB"/>
        </w:rPr>
        <w:t>R. of Macedonia</w:t>
      </w:r>
      <w:r w:rsidR="00591C91" w:rsidRPr="003E3DFC">
        <w:rPr>
          <w:lang w:val="en-GB"/>
        </w:rPr>
        <w:t>, especially from a more holistic perspective including also regional and ethnic disparities given the cultural, religious, and ethnic diversity upon which the R.</w:t>
      </w:r>
      <w:r w:rsidR="00470E17" w:rsidRPr="003E3DFC">
        <w:rPr>
          <w:lang w:val="en-GB"/>
        </w:rPr>
        <w:t xml:space="preserve"> of </w:t>
      </w:r>
      <w:r w:rsidR="00591C91" w:rsidRPr="003E3DFC">
        <w:rPr>
          <w:lang w:val="en-GB"/>
        </w:rPr>
        <w:t>Macedonia is founded.</w:t>
      </w:r>
      <w:r w:rsidR="00F12F38" w:rsidRPr="003E3DFC">
        <w:rPr>
          <w:lang w:val="en-GB"/>
        </w:rPr>
        <w:t xml:space="preserve"> However, in general, the high </w:t>
      </w:r>
      <w:r w:rsidR="005C46E9" w:rsidRPr="003E3DFC">
        <w:rPr>
          <w:lang w:val="en-GB"/>
        </w:rPr>
        <w:t xml:space="preserve">of </w:t>
      </w:r>
      <w:r w:rsidR="00F12F38" w:rsidRPr="003E3DFC">
        <w:rPr>
          <w:lang w:val="en-GB"/>
        </w:rPr>
        <w:t xml:space="preserve">unemployment in </w:t>
      </w:r>
      <w:r w:rsidR="00C30864" w:rsidRPr="003E3DFC">
        <w:rPr>
          <w:lang w:val="en-GB"/>
        </w:rPr>
        <w:t>R. of Macedonia</w:t>
      </w:r>
      <w:r w:rsidR="00F12F38" w:rsidRPr="003E3DFC">
        <w:rPr>
          <w:lang w:val="en-GB"/>
        </w:rPr>
        <w:t xml:space="preserve">, including that of women, can essentially be explained in the absence of significant labour supply constraints and the limited labour demand, stemming especially from the private sector (Micevska, 2008).  </w:t>
      </w:r>
    </w:p>
    <w:p w14:paraId="3C313BB8" w14:textId="77777777" w:rsidR="0081429E" w:rsidRPr="003E3DFC" w:rsidRDefault="0081429E" w:rsidP="0088150B">
      <w:pPr>
        <w:pStyle w:val="NoSpacing"/>
        <w:rPr>
          <w:color w:val="FF0000"/>
          <w:lang w:val="en-GB"/>
        </w:rPr>
      </w:pPr>
    </w:p>
    <w:p w14:paraId="47CCD218" w14:textId="336E716D" w:rsidR="008E358C" w:rsidRPr="003E3DFC" w:rsidRDefault="00591C91" w:rsidP="0088150B">
      <w:pPr>
        <w:pStyle w:val="NoSpacing"/>
        <w:rPr>
          <w:lang w:val="en-GB"/>
        </w:rPr>
      </w:pPr>
      <w:r w:rsidRPr="003E3DFC">
        <w:rPr>
          <w:lang w:val="en-GB"/>
        </w:rPr>
        <w:t xml:space="preserve">Although the high level of unemployment among females in the </w:t>
      </w:r>
      <w:r w:rsidR="00C30864" w:rsidRPr="003E3DFC">
        <w:rPr>
          <w:lang w:val="en-GB"/>
        </w:rPr>
        <w:t>R. of Macedonia</w:t>
      </w:r>
      <w:r w:rsidRPr="003E3DFC">
        <w:rPr>
          <w:lang w:val="en-GB"/>
        </w:rPr>
        <w:t xml:space="preserve"> can be vastly explained by the general causes of unemployment, the </w:t>
      </w:r>
      <w:r w:rsidR="00052490" w:rsidRPr="003E3DFC">
        <w:rPr>
          <w:lang w:val="en-GB"/>
        </w:rPr>
        <w:t xml:space="preserve">demanding role of women in the </w:t>
      </w:r>
      <w:r w:rsidR="008E358C" w:rsidRPr="003E3DFC">
        <w:rPr>
          <w:lang w:val="en-GB"/>
        </w:rPr>
        <w:t>household</w:t>
      </w:r>
      <w:r w:rsidR="00052490" w:rsidRPr="003E3DFC">
        <w:rPr>
          <w:lang w:val="en-GB"/>
        </w:rPr>
        <w:t xml:space="preserve"> </w:t>
      </w:r>
      <w:r w:rsidR="00052490" w:rsidRPr="003E3DFC">
        <w:rPr>
          <w:lang w:val="en-GB"/>
        </w:rPr>
        <w:lastRenderedPageBreak/>
        <w:t xml:space="preserve">and the </w:t>
      </w:r>
      <w:r w:rsidRPr="003E3DFC">
        <w:rPr>
          <w:lang w:val="en-GB"/>
        </w:rPr>
        <w:t>difficulty in entering and remaining in the labour market is one aspect that is often underestimated</w:t>
      </w:r>
      <w:r w:rsidR="00052490" w:rsidRPr="003E3DFC">
        <w:rPr>
          <w:lang w:val="en-GB"/>
        </w:rPr>
        <w:t xml:space="preserve">. </w:t>
      </w:r>
      <w:r w:rsidR="00335F47" w:rsidRPr="003E3DFC">
        <w:rPr>
          <w:lang w:val="en-GB"/>
        </w:rPr>
        <w:t>T</w:t>
      </w:r>
      <w:r w:rsidR="00052490" w:rsidRPr="003E3DFC">
        <w:rPr>
          <w:lang w:val="en-GB"/>
        </w:rPr>
        <w:t xml:space="preserve">he </w:t>
      </w:r>
      <w:r w:rsidR="008A3116" w:rsidRPr="003E3DFC">
        <w:rPr>
          <w:lang w:val="en-GB"/>
        </w:rPr>
        <w:t>W</w:t>
      </w:r>
      <w:r w:rsidR="00052490" w:rsidRPr="003E3DFC">
        <w:rPr>
          <w:lang w:val="en-GB"/>
        </w:rPr>
        <w:t>orld Bank (2013)</w:t>
      </w:r>
      <w:r w:rsidR="00335F47" w:rsidRPr="003E3DFC">
        <w:rPr>
          <w:lang w:val="en-GB"/>
        </w:rPr>
        <w:t xml:space="preserve"> reported that </w:t>
      </w:r>
      <w:r w:rsidR="008A3116" w:rsidRPr="003E3DFC">
        <w:rPr>
          <w:lang w:val="en-GB"/>
        </w:rPr>
        <w:t>the opportunity cost of work for most women is higher than their potential wage</w:t>
      </w:r>
      <w:r w:rsidR="002E66BD" w:rsidRPr="003E3DFC">
        <w:rPr>
          <w:rStyle w:val="EndnoteReference"/>
          <w:lang w:val="en-GB"/>
        </w:rPr>
        <w:endnoteReference w:id="5"/>
      </w:r>
      <w:r w:rsidR="008A3116" w:rsidRPr="003E3DFC">
        <w:rPr>
          <w:lang w:val="en-GB"/>
        </w:rPr>
        <w:t xml:space="preserve"> in the labour market. </w:t>
      </w:r>
      <w:r w:rsidR="008E358C" w:rsidRPr="003E3DFC">
        <w:rPr>
          <w:lang w:val="en-GB"/>
        </w:rPr>
        <w:t xml:space="preserve">While this does not explain the reason for the high unemployment in </w:t>
      </w:r>
      <w:r w:rsidR="00C30864" w:rsidRPr="003E3DFC">
        <w:rPr>
          <w:lang w:val="en-GB"/>
        </w:rPr>
        <w:t>R. of Macedonia</w:t>
      </w:r>
      <w:r w:rsidR="008E358C" w:rsidRPr="003E3DFC">
        <w:rPr>
          <w:lang w:val="en-GB"/>
        </w:rPr>
        <w:t xml:space="preserve">, it touches some key aspects hindering women to enter the labour market and actively pursue jobs such as access to child care, </w:t>
      </w:r>
      <w:r w:rsidR="00266D8E" w:rsidRPr="003E3DFC">
        <w:rPr>
          <w:lang w:val="en-GB"/>
        </w:rPr>
        <w:t xml:space="preserve">pay gaps, </w:t>
      </w:r>
      <w:r w:rsidR="008E358C" w:rsidRPr="003E3DFC">
        <w:rPr>
          <w:lang w:val="en-GB"/>
        </w:rPr>
        <w:t>etc.</w:t>
      </w:r>
    </w:p>
    <w:p w14:paraId="17A4AACD" w14:textId="77777777" w:rsidR="00C84DF5" w:rsidRPr="003E3DFC" w:rsidRDefault="00C84DF5" w:rsidP="0088150B">
      <w:pPr>
        <w:pStyle w:val="NoSpacing"/>
        <w:rPr>
          <w:lang w:val="en-GB"/>
        </w:rPr>
      </w:pPr>
    </w:p>
    <w:p w14:paraId="23394A46" w14:textId="2CC04CC8" w:rsidR="000854B4" w:rsidRPr="003E3DFC" w:rsidRDefault="008A3116" w:rsidP="0088150B">
      <w:pPr>
        <w:pStyle w:val="NoSpacing"/>
        <w:rPr>
          <w:lang w:val="en-GB"/>
        </w:rPr>
      </w:pPr>
      <w:r w:rsidRPr="003E3DFC">
        <w:rPr>
          <w:lang w:val="en-GB"/>
        </w:rPr>
        <w:t>Another aspect is the industries</w:t>
      </w:r>
      <w:r w:rsidR="00E30C02" w:rsidRPr="003E3DFC">
        <w:rPr>
          <w:lang w:val="en-GB"/>
        </w:rPr>
        <w:t>/sectors</w:t>
      </w:r>
      <w:r w:rsidRPr="003E3DFC">
        <w:rPr>
          <w:lang w:val="en-GB"/>
        </w:rPr>
        <w:t xml:space="preserve"> and the field of study often characterising </w:t>
      </w:r>
      <w:r w:rsidR="00F12F38" w:rsidRPr="003E3DFC">
        <w:rPr>
          <w:lang w:val="en-GB"/>
        </w:rPr>
        <w:t>women</w:t>
      </w:r>
      <w:r w:rsidR="008E358C" w:rsidRPr="003E3DFC">
        <w:rPr>
          <w:lang w:val="en-GB"/>
        </w:rPr>
        <w:t xml:space="preserve">. </w:t>
      </w:r>
      <w:r w:rsidR="00E30C02" w:rsidRPr="003E3DFC">
        <w:rPr>
          <w:lang w:val="en-GB"/>
        </w:rPr>
        <w:t>Women are i.e. very much underrepresented in the const</w:t>
      </w:r>
      <w:r w:rsidR="00C84DF5" w:rsidRPr="003E3DFC">
        <w:rPr>
          <w:lang w:val="en-GB"/>
        </w:rPr>
        <w:t>ruction industry and in study fields representing this industry</w:t>
      </w:r>
      <w:r w:rsidR="00266D8E" w:rsidRPr="003E3DFC">
        <w:rPr>
          <w:lang w:val="en-GB"/>
        </w:rPr>
        <w:t>,</w:t>
      </w:r>
      <w:r w:rsidR="00C84DF5" w:rsidRPr="003E3DFC">
        <w:rPr>
          <w:lang w:val="en-GB"/>
        </w:rPr>
        <w:t xml:space="preserve"> and female employment is </w:t>
      </w:r>
      <w:r w:rsidR="00266D8E" w:rsidRPr="003E3DFC">
        <w:rPr>
          <w:lang w:val="en-GB"/>
        </w:rPr>
        <w:t>vastly</w:t>
      </w:r>
      <w:r w:rsidR="00C84DF5" w:rsidRPr="003E3DFC">
        <w:rPr>
          <w:lang w:val="en-GB"/>
        </w:rPr>
        <w:t xml:space="preserve"> oriented towards manufacturing (i.e. garment and textile) and in the human health and social work sectors (World Bank, 2013). </w:t>
      </w:r>
      <w:r w:rsidR="002610C3" w:rsidRPr="003E3DFC">
        <w:rPr>
          <w:lang w:val="en-GB"/>
        </w:rPr>
        <w:t xml:space="preserve">While this </w:t>
      </w:r>
      <w:r w:rsidR="00266D8E" w:rsidRPr="003E3DFC">
        <w:rPr>
          <w:lang w:val="en-GB"/>
        </w:rPr>
        <w:t>is</w:t>
      </w:r>
      <w:r w:rsidR="002610C3" w:rsidRPr="003E3DFC">
        <w:rPr>
          <w:lang w:val="en-GB"/>
        </w:rPr>
        <w:t xml:space="preserve"> a </w:t>
      </w:r>
      <w:r w:rsidR="004E021A" w:rsidRPr="003E3DFC">
        <w:rPr>
          <w:lang w:val="en-GB"/>
        </w:rPr>
        <w:t xml:space="preserve">structural </w:t>
      </w:r>
      <w:r w:rsidR="002610C3" w:rsidRPr="003E3DFC">
        <w:rPr>
          <w:lang w:val="en-GB"/>
        </w:rPr>
        <w:t xml:space="preserve">issue emphasising skill mismatch, the point herein lies more in the context of the </w:t>
      </w:r>
      <w:r w:rsidR="004E021A" w:rsidRPr="003E3DFC">
        <w:rPr>
          <w:lang w:val="en-GB"/>
        </w:rPr>
        <w:t>lack</w:t>
      </w:r>
      <w:r w:rsidR="00266D8E" w:rsidRPr="003E3DFC">
        <w:rPr>
          <w:lang w:val="en-GB"/>
        </w:rPr>
        <w:t xml:space="preserve">, </w:t>
      </w:r>
      <w:r w:rsidR="004E021A" w:rsidRPr="003E3DFC">
        <w:rPr>
          <w:lang w:val="en-GB"/>
        </w:rPr>
        <w:t xml:space="preserve">or the </w:t>
      </w:r>
      <w:r w:rsidR="002610C3" w:rsidRPr="003E3DFC">
        <w:rPr>
          <w:lang w:val="en-GB"/>
        </w:rPr>
        <w:t xml:space="preserve">type </w:t>
      </w:r>
      <w:r w:rsidR="004E021A" w:rsidRPr="003E3DFC">
        <w:rPr>
          <w:lang w:val="en-GB"/>
        </w:rPr>
        <w:t>and quality</w:t>
      </w:r>
      <w:r w:rsidR="00266D8E" w:rsidRPr="003E3DFC">
        <w:rPr>
          <w:lang w:val="en-GB"/>
        </w:rPr>
        <w:t>,</w:t>
      </w:r>
      <w:r w:rsidR="004E021A" w:rsidRPr="003E3DFC">
        <w:rPr>
          <w:lang w:val="en-GB"/>
        </w:rPr>
        <w:t xml:space="preserve"> of career support, orientation, Active Labour Market Measure, etc.</w:t>
      </w:r>
      <w:r w:rsidR="002610C3" w:rsidRPr="003E3DFC">
        <w:rPr>
          <w:lang w:val="en-GB"/>
        </w:rPr>
        <w:t xml:space="preserve">, rather than on the supply and demand aspects. Hence, the high female unemployment in the country can partly, but rather significantly, </w:t>
      </w:r>
      <w:r w:rsidR="006E17A1" w:rsidRPr="003E3DFC">
        <w:rPr>
          <w:lang w:val="en-GB"/>
        </w:rPr>
        <w:t xml:space="preserve">be </w:t>
      </w:r>
      <w:r w:rsidR="004E021A" w:rsidRPr="003E3DFC">
        <w:rPr>
          <w:lang w:val="en-GB"/>
        </w:rPr>
        <w:t xml:space="preserve">explained </w:t>
      </w:r>
      <w:r w:rsidR="00CE3F3D" w:rsidRPr="003E3DFC">
        <w:rPr>
          <w:lang w:val="en-GB"/>
        </w:rPr>
        <w:t xml:space="preserve">also </w:t>
      </w:r>
      <w:r w:rsidR="002610C3" w:rsidRPr="003E3DFC">
        <w:rPr>
          <w:lang w:val="en-GB"/>
        </w:rPr>
        <w:t xml:space="preserve">by the failure of the institutional framework governing the labour market to provide the necessary support </w:t>
      </w:r>
      <w:r w:rsidR="006A6830" w:rsidRPr="003E3DFC">
        <w:rPr>
          <w:lang w:val="en-GB"/>
        </w:rPr>
        <w:t xml:space="preserve">to unemployed </w:t>
      </w:r>
      <w:r w:rsidR="002610C3" w:rsidRPr="003E3DFC">
        <w:rPr>
          <w:lang w:val="en-GB"/>
        </w:rPr>
        <w:t xml:space="preserve">and incentives to stimulate female labour market participation and ultimately employment. </w:t>
      </w:r>
      <w:r w:rsidR="006E17A1" w:rsidRPr="003E3DFC">
        <w:rPr>
          <w:lang w:val="en-GB"/>
        </w:rPr>
        <w:t xml:space="preserve">While higher education institutions are quite rigid and rather </w:t>
      </w:r>
      <w:r w:rsidR="00266D8E" w:rsidRPr="003E3DFC">
        <w:rPr>
          <w:lang w:val="en-GB"/>
        </w:rPr>
        <w:t xml:space="preserve">slow or </w:t>
      </w:r>
      <w:r w:rsidR="006E17A1" w:rsidRPr="003E3DFC">
        <w:rPr>
          <w:lang w:val="en-GB"/>
        </w:rPr>
        <w:t>reluctant to adapt to changing</w:t>
      </w:r>
      <w:r w:rsidR="00266D8E" w:rsidRPr="003E3DFC">
        <w:rPr>
          <w:lang w:val="en-GB"/>
        </w:rPr>
        <w:t xml:space="preserve"> industry needs</w:t>
      </w:r>
      <w:r w:rsidR="00CE3F3D" w:rsidRPr="003E3DFC">
        <w:rPr>
          <w:lang w:val="en-GB"/>
        </w:rPr>
        <w:t xml:space="preserve"> given the high unemployment in general. From a general standpoint, it is clear that in addition to focusing on boosting the economy to create more jobs in areas where women are strong, a deeper recognition that female unemployment is multidimensional concept with both quantitative and qualitative challenges is imperative to address this issue properly.</w:t>
      </w:r>
    </w:p>
    <w:p w14:paraId="67E32410" w14:textId="2ECD3929" w:rsidR="00420112" w:rsidRPr="003E3DFC" w:rsidRDefault="00420112" w:rsidP="00E70C26">
      <w:pPr>
        <w:pStyle w:val="Heading1"/>
      </w:pPr>
      <w:r w:rsidRPr="003E3DFC">
        <w:t>Conclusions and Recommendations</w:t>
      </w:r>
    </w:p>
    <w:p w14:paraId="1C23058F" w14:textId="77777777" w:rsidR="00194D93" w:rsidRDefault="00194D93" w:rsidP="0088150B">
      <w:pPr>
        <w:pStyle w:val="NoSpacing"/>
        <w:rPr>
          <w:lang w:val="en-GB"/>
        </w:rPr>
      </w:pPr>
    </w:p>
    <w:p w14:paraId="0FEB6257" w14:textId="30041605" w:rsidR="00DA3F02" w:rsidRPr="003E3DFC" w:rsidRDefault="00DA3F02" w:rsidP="0088150B">
      <w:pPr>
        <w:pStyle w:val="NoSpacing"/>
        <w:rPr>
          <w:lang w:val="en-GB"/>
        </w:rPr>
      </w:pPr>
      <w:r w:rsidRPr="003E3DFC">
        <w:rPr>
          <w:lang w:val="en-GB"/>
        </w:rPr>
        <w:t xml:space="preserve">Female labour market indicators show that the Republic of Macedonia is performing poorly in most aspects in comparison to more advanced </w:t>
      </w:r>
      <w:r w:rsidR="00AF0ED0" w:rsidRPr="003E3DFC">
        <w:rPr>
          <w:lang w:val="en-GB"/>
        </w:rPr>
        <w:t xml:space="preserve">countries in the Balkan region. </w:t>
      </w:r>
      <w:r w:rsidR="00E70C26" w:rsidRPr="003E3DFC">
        <w:rPr>
          <w:lang w:val="en-GB"/>
        </w:rPr>
        <w:t xml:space="preserve">More and more women have entered the </w:t>
      </w:r>
      <w:r w:rsidRPr="003E3DFC">
        <w:rPr>
          <w:lang w:val="en-GB"/>
        </w:rPr>
        <w:t>labour</w:t>
      </w:r>
      <w:r w:rsidR="00E70C26" w:rsidRPr="003E3DFC">
        <w:rPr>
          <w:lang w:val="en-GB"/>
        </w:rPr>
        <w:t xml:space="preserve"> market in the past decade in the Republic of Macedonia, and especially educated women. Still, the female </w:t>
      </w:r>
      <w:r w:rsidRPr="003E3DFC">
        <w:rPr>
          <w:lang w:val="en-GB"/>
        </w:rPr>
        <w:t>labour</w:t>
      </w:r>
      <w:r w:rsidR="00E70C26" w:rsidRPr="003E3DFC">
        <w:rPr>
          <w:lang w:val="en-GB"/>
        </w:rPr>
        <w:t xml:space="preserve"> force participation is significantly below Balkan countries</w:t>
      </w:r>
      <w:r w:rsidRPr="003E3DFC">
        <w:rPr>
          <w:lang w:val="en-GB"/>
        </w:rPr>
        <w:t xml:space="preserve"> integrated in the European Union such as Bulgaria, Greece, Slovenia and Croatia</w:t>
      </w:r>
      <w:r w:rsidR="00E70C26" w:rsidRPr="003E3DFC">
        <w:rPr>
          <w:lang w:val="en-GB"/>
        </w:rPr>
        <w:t>; and the female inactivity rates</w:t>
      </w:r>
      <w:r w:rsidR="00A80198" w:rsidRPr="003E3DFC">
        <w:rPr>
          <w:lang w:val="en-GB"/>
        </w:rPr>
        <w:t xml:space="preserve"> are</w:t>
      </w:r>
      <w:r w:rsidR="00E70C26" w:rsidRPr="003E3DFC">
        <w:rPr>
          <w:lang w:val="en-GB"/>
        </w:rPr>
        <w:t xml:space="preserve"> despite a slow downwards trend still twice as high than that of males in the country.</w:t>
      </w:r>
    </w:p>
    <w:p w14:paraId="542865FE" w14:textId="77777777" w:rsidR="0088150B" w:rsidRPr="003E3DFC" w:rsidRDefault="0088150B" w:rsidP="0088150B">
      <w:pPr>
        <w:pStyle w:val="NoSpacing"/>
        <w:rPr>
          <w:lang w:val="en-GB"/>
        </w:rPr>
      </w:pPr>
    </w:p>
    <w:p w14:paraId="2CDD9891" w14:textId="097206A4" w:rsidR="00DA3F02" w:rsidRPr="003E3DFC" w:rsidRDefault="007251F2" w:rsidP="0088150B">
      <w:pPr>
        <w:pStyle w:val="NoSpacing"/>
        <w:rPr>
          <w:lang w:val="en-GB"/>
        </w:rPr>
      </w:pPr>
      <w:r w:rsidRPr="003E3DFC">
        <w:rPr>
          <w:lang w:val="en-GB"/>
        </w:rPr>
        <w:t xml:space="preserve">Female employment rates have been on the rise in the study period, but at a much slower pace compared to male employment rated and lies still below most Balkan countries. The increase in female employment is mainly stipulated by increases in employment among lower educated women, while a downward employment trend is </w:t>
      </w:r>
      <w:r w:rsidR="00AF0ED0" w:rsidRPr="003E3DFC">
        <w:rPr>
          <w:lang w:val="en-GB"/>
        </w:rPr>
        <w:t>observed</w:t>
      </w:r>
      <w:r w:rsidRPr="003E3DFC">
        <w:rPr>
          <w:lang w:val="en-GB"/>
        </w:rPr>
        <w:t xml:space="preserve"> for women with tertiary education. Female self-employment is on the rise, but still at </w:t>
      </w:r>
      <w:r w:rsidR="00AF0ED0" w:rsidRPr="003E3DFC">
        <w:rPr>
          <w:lang w:val="en-GB"/>
        </w:rPr>
        <w:t>a very low level to other more developed</w:t>
      </w:r>
      <w:r w:rsidRPr="003E3DFC">
        <w:rPr>
          <w:lang w:val="en-GB"/>
        </w:rPr>
        <w:t xml:space="preserve"> Balkan countries.</w:t>
      </w:r>
    </w:p>
    <w:p w14:paraId="4C32BD9B" w14:textId="77777777" w:rsidR="0088150B" w:rsidRPr="003E3DFC" w:rsidRDefault="0088150B" w:rsidP="0088150B">
      <w:pPr>
        <w:pStyle w:val="NoSpacing"/>
        <w:rPr>
          <w:lang w:val="en-GB"/>
        </w:rPr>
      </w:pPr>
    </w:p>
    <w:p w14:paraId="51A0AF5C" w14:textId="7587801D" w:rsidR="001D34D7" w:rsidRPr="003E3DFC" w:rsidRDefault="00530084" w:rsidP="0088150B">
      <w:pPr>
        <w:pStyle w:val="NoSpacing"/>
        <w:rPr>
          <w:lang w:val="en-GB"/>
        </w:rPr>
      </w:pPr>
      <w:r w:rsidRPr="003E3DFC">
        <w:rPr>
          <w:lang w:val="en-GB"/>
        </w:rPr>
        <w:t xml:space="preserve">Female unemployment in the </w:t>
      </w:r>
      <w:r w:rsidR="00C30864" w:rsidRPr="003E3DFC">
        <w:rPr>
          <w:lang w:val="en-GB"/>
        </w:rPr>
        <w:t>R. of Macedonia</w:t>
      </w:r>
      <w:r w:rsidRPr="003E3DFC">
        <w:rPr>
          <w:lang w:val="en-GB"/>
        </w:rPr>
        <w:t xml:space="preserve"> is </w:t>
      </w:r>
      <w:r w:rsidR="00A915DF" w:rsidRPr="003E3DFC">
        <w:rPr>
          <w:lang w:val="en-GB"/>
        </w:rPr>
        <w:t>slowly</w:t>
      </w:r>
      <w:r w:rsidR="00AF0ED0" w:rsidRPr="003E3DFC">
        <w:rPr>
          <w:lang w:val="en-GB"/>
        </w:rPr>
        <w:t>, but</w:t>
      </w:r>
      <w:r w:rsidR="00A915DF" w:rsidRPr="003E3DFC">
        <w:rPr>
          <w:lang w:val="en-GB"/>
        </w:rPr>
        <w:t xml:space="preserve"> consistently </w:t>
      </w:r>
      <w:r w:rsidRPr="003E3DFC">
        <w:rPr>
          <w:lang w:val="en-GB"/>
        </w:rPr>
        <w:t>moving in the right direction</w:t>
      </w:r>
      <w:r w:rsidR="00A915DF" w:rsidRPr="003E3DFC">
        <w:rPr>
          <w:lang w:val="en-GB"/>
        </w:rPr>
        <w:t xml:space="preserve">. The female unemployment rate </w:t>
      </w:r>
      <w:r w:rsidRPr="003E3DFC">
        <w:rPr>
          <w:lang w:val="en-GB"/>
        </w:rPr>
        <w:t xml:space="preserve">has dropped </w:t>
      </w:r>
      <w:r w:rsidR="00A915DF" w:rsidRPr="003E3DFC">
        <w:rPr>
          <w:lang w:val="en-GB"/>
        </w:rPr>
        <w:t xml:space="preserve">by 8.8 p.p. from 2004 to 2013, but remains still at a </w:t>
      </w:r>
      <w:r w:rsidRPr="003E3DFC">
        <w:rPr>
          <w:lang w:val="en-GB"/>
        </w:rPr>
        <w:t>very high</w:t>
      </w:r>
      <w:r w:rsidR="00A915DF" w:rsidRPr="003E3DFC">
        <w:rPr>
          <w:lang w:val="en-GB"/>
        </w:rPr>
        <w:t xml:space="preserve"> level (at 29% in 2013)</w:t>
      </w:r>
      <w:r w:rsidRPr="003E3DFC">
        <w:rPr>
          <w:lang w:val="en-GB"/>
        </w:rPr>
        <w:t xml:space="preserve">. </w:t>
      </w:r>
      <w:r w:rsidR="00A915DF" w:rsidRPr="003E3DFC">
        <w:rPr>
          <w:lang w:val="en-GB"/>
        </w:rPr>
        <w:t>T</w:t>
      </w:r>
      <w:r w:rsidRPr="003E3DFC">
        <w:rPr>
          <w:lang w:val="en-GB"/>
        </w:rPr>
        <w:t xml:space="preserve">he country has the </w:t>
      </w:r>
      <w:r w:rsidR="00AF0ED0" w:rsidRPr="003E3DFC">
        <w:rPr>
          <w:lang w:val="en-GB"/>
        </w:rPr>
        <w:t>second</w:t>
      </w:r>
      <w:r w:rsidRPr="003E3DFC">
        <w:rPr>
          <w:lang w:val="en-GB"/>
        </w:rPr>
        <w:t xml:space="preserve"> highest </w:t>
      </w:r>
      <w:r w:rsidR="00A915DF" w:rsidRPr="003E3DFC">
        <w:rPr>
          <w:lang w:val="en-GB"/>
        </w:rPr>
        <w:t xml:space="preserve">rate </w:t>
      </w:r>
      <w:r w:rsidR="00AF0ED0" w:rsidRPr="003E3DFC">
        <w:rPr>
          <w:lang w:val="en-GB"/>
        </w:rPr>
        <w:t>compared to benchmark countries</w:t>
      </w:r>
      <w:r w:rsidR="00A915DF" w:rsidRPr="003E3DFC">
        <w:rPr>
          <w:lang w:val="en-GB"/>
        </w:rPr>
        <w:t xml:space="preserve">, </w:t>
      </w:r>
      <w:r w:rsidRPr="003E3DFC">
        <w:rPr>
          <w:lang w:val="en-GB"/>
        </w:rPr>
        <w:t xml:space="preserve">surpassed only by Greece with </w:t>
      </w:r>
      <w:r w:rsidR="00AF0ED0" w:rsidRPr="003E3DFC">
        <w:rPr>
          <w:lang w:val="en-GB"/>
        </w:rPr>
        <w:t>a higher rate. However,</w:t>
      </w:r>
      <w:r w:rsidR="00A915DF" w:rsidRPr="003E3DFC">
        <w:rPr>
          <w:lang w:val="en-GB"/>
        </w:rPr>
        <w:t xml:space="preserve"> when compared to male unemployment rates in the country, </w:t>
      </w:r>
      <w:r w:rsidR="00AF0ED0" w:rsidRPr="003E3DFC">
        <w:rPr>
          <w:lang w:val="en-GB"/>
        </w:rPr>
        <w:t>observed data show</w:t>
      </w:r>
      <w:r w:rsidR="00A915DF" w:rsidRPr="003E3DFC">
        <w:rPr>
          <w:lang w:val="en-GB"/>
        </w:rPr>
        <w:t xml:space="preserve"> that no gender gaps seem to exist due to marginal differences in female and male unemployment rates in the study period (2004-2013)</w:t>
      </w:r>
      <w:r w:rsidRPr="003E3DFC">
        <w:rPr>
          <w:lang w:val="en-GB"/>
        </w:rPr>
        <w:t xml:space="preserve">. </w:t>
      </w:r>
      <w:r w:rsidR="00A915DF" w:rsidRPr="003E3DFC">
        <w:rPr>
          <w:lang w:val="en-GB"/>
        </w:rPr>
        <w:t>The decreasing trend in female unemployment is mainly witnessed among urban females</w:t>
      </w:r>
      <w:r w:rsidR="001D34D7" w:rsidRPr="003E3DFC">
        <w:rPr>
          <w:lang w:val="en-GB"/>
        </w:rPr>
        <w:t>.</w:t>
      </w:r>
    </w:p>
    <w:p w14:paraId="1C744446" w14:textId="77777777" w:rsidR="001D34D7" w:rsidRPr="003E3DFC" w:rsidRDefault="001D34D7" w:rsidP="0088150B">
      <w:pPr>
        <w:pStyle w:val="NoSpacing"/>
        <w:rPr>
          <w:lang w:val="en-GB"/>
        </w:rPr>
      </w:pPr>
    </w:p>
    <w:p w14:paraId="336C01D4" w14:textId="5B51024B" w:rsidR="001D34D7" w:rsidRPr="003E3DFC" w:rsidRDefault="001D34D7" w:rsidP="0088150B">
      <w:pPr>
        <w:pStyle w:val="NoSpacing"/>
        <w:rPr>
          <w:lang w:val="en-GB"/>
        </w:rPr>
      </w:pPr>
      <w:r w:rsidRPr="003E3DFC">
        <w:rPr>
          <w:lang w:val="en-GB"/>
        </w:rPr>
        <w:t xml:space="preserve">Female unemployment is long-term in nature, as </w:t>
      </w:r>
      <w:r w:rsidR="00AF0ED0" w:rsidRPr="003E3DFC">
        <w:rPr>
          <w:lang w:val="en-GB"/>
        </w:rPr>
        <w:t xml:space="preserve">observed also </w:t>
      </w:r>
      <w:r w:rsidRPr="003E3DFC">
        <w:rPr>
          <w:lang w:val="en-GB"/>
        </w:rPr>
        <w:t xml:space="preserve">with the opposite gender, and a large number of women (app.50%) are unable to enter the labour market due </w:t>
      </w:r>
      <w:r w:rsidR="00AF0ED0" w:rsidRPr="003E3DFC">
        <w:rPr>
          <w:lang w:val="en-GB"/>
        </w:rPr>
        <w:t xml:space="preserve">mainly </w:t>
      </w:r>
      <w:r w:rsidRPr="003E3DFC">
        <w:rPr>
          <w:lang w:val="en-GB"/>
        </w:rPr>
        <w:t>to household responsibilities. Hardest hit by unemployment are especially female youth and lower educated women. Data shows a decreasing trend for both categories in the study period, but still both categories display extremely high unemployment rates, especially among female youth. Higher educated women seem to be less vulnerable to unemployment than other categories, but this category displays an increasing trend in unemployment</w:t>
      </w:r>
      <w:r w:rsidR="00CF2DFB" w:rsidRPr="003E3DFC">
        <w:rPr>
          <w:lang w:val="en-GB"/>
        </w:rPr>
        <w:t xml:space="preserve"> which is worrisome as  this </w:t>
      </w:r>
      <w:r w:rsidRPr="003E3DFC">
        <w:rPr>
          <w:lang w:val="en-GB"/>
        </w:rPr>
        <w:t>might be a cause to further discouragement among females to enter labour market in the future or/and pursue higher education</w:t>
      </w:r>
      <w:r w:rsidR="00A80198" w:rsidRPr="003E3DFC">
        <w:rPr>
          <w:lang w:val="en-GB"/>
        </w:rPr>
        <w:t xml:space="preserve">. Similar trends are </w:t>
      </w:r>
      <w:r w:rsidR="00006185" w:rsidRPr="003E3DFC">
        <w:rPr>
          <w:lang w:val="en-GB"/>
        </w:rPr>
        <w:t xml:space="preserve">witnessed across the </w:t>
      </w:r>
      <w:r w:rsidR="00CF2DFB" w:rsidRPr="003E3DFC">
        <w:rPr>
          <w:lang w:val="en-GB"/>
        </w:rPr>
        <w:t xml:space="preserve">countries compared </w:t>
      </w:r>
      <w:r w:rsidR="00006185" w:rsidRPr="003E3DFC">
        <w:rPr>
          <w:lang w:val="en-GB"/>
        </w:rPr>
        <w:t xml:space="preserve">in the context of higher educated women with Greece and Croatia experiencing higher increases in unemployment rates than </w:t>
      </w:r>
      <w:r w:rsidR="00C30864" w:rsidRPr="003E3DFC">
        <w:rPr>
          <w:lang w:val="en-GB"/>
        </w:rPr>
        <w:t>R. of Macedonia</w:t>
      </w:r>
      <w:r w:rsidR="00006185" w:rsidRPr="003E3DFC">
        <w:rPr>
          <w:lang w:val="en-GB"/>
        </w:rPr>
        <w:t xml:space="preserve"> in this category. </w:t>
      </w:r>
      <w:r w:rsidR="00CF2DFB" w:rsidRPr="003E3DFC">
        <w:rPr>
          <w:lang w:val="en-GB"/>
        </w:rPr>
        <w:t>However, with opposite trends when observing</w:t>
      </w:r>
      <w:r w:rsidR="00006185" w:rsidRPr="003E3DFC">
        <w:rPr>
          <w:lang w:val="en-GB"/>
        </w:rPr>
        <w:t xml:space="preserve"> at lower educated women, where the country is performing much better in the period 2006-2013 comparison to the more </w:t>
      </w:r>
      <w:r w:rsidR="00CF2DFB" w:rsidRPr="003E3DFC">
        <w:rPr>
          <w:lang w:val="en-GB"/>
        </w:rPr>
        <w:t>developed</w:t>
      </w:r>
      <w:r w:rsidR="00006185" w:rsidRPr="003E3DFC">
        <w:rPr>
          <w:lang w:val="en-GB"/>
        </w:rPr>
        <w:t xml:space="preserve"> Balkan countries who </w:t>
      </w:r>
      <w:r w:rsidR="00070C5D" w:rsidRPr="003E3DFC">
        <w:rPr>
          <w:lang w:val="en-GB"/>
        </w:rPr>
        <w:t xml:space="preserve">have </w:t>
      </w:r>
      <w:r w:rsidR="00006185" w:rsidRPr="003E3DFC">
        <w:rPr>
          <w:lang w:val="en-GB"/>
        </w:rPr>
        <w:t xml:space="preserve">all </w:t>
      </w:r>
      <w:r w:rsidR="00CF2DFB" w:rsidRPr="003E3DFC">
        <w:rPr>
          <w:lang w:val="en-GB"/>
        </w:rPr>
        <w:t>registered</w:t>
      </w:r>
      <w:r w:rsidR="00006185" w:rsidRPr="003E3DFC">
        <w:rPr>
          <w:lang w:val="en-GB"/>
        </w:rPr>
        <w:t xml:space="preserve"> growing unemployment rates in this category</w:t>
      </w:r>
      <w:r w:rsidR="00CF2DFB" w:rsidRPr="003E3DFC">
        <w:rPr>
          <w:lang w:val="en-GB"/>
        </w:rPr>
        <w:t xml:space="preserve">. In the case of the </w:t>
      </w:r>
      <w:r w:rsidR="00C30864" w:rsidRPr="003E3DFC">
        <w:rPr>
          <w:lang w:val="en-GB"/>
        </w:rPr>
        <w:t>R. of Macedonia</w:t>
      </w:r>
      <w:r w:rsidR="00CF2DFB" w:rsidRPr="003E3DFC">
        <w:rPr>
          <w:lang w:val="en-GB"/>
        </w:rPr>
        <w:t>,</w:t>
      </w:r>
      <w:r w:rsidR="00006185" w:rsidRPr="003E3DFC">
        <w:rPr>
          <w:lang w:val="en-GB"/>
        </w:rPr>
        <w:t xml:space="preserve"> a downwards trend </w:t>
      </w:r>
      <w:r w:rsidR="00CF2DFB" w:rsidRPr="003E3DFC">
        <w:rPr>
          <w:lang w:val="en-GB"/>
        </w:rPr>
        <w:t xml:space="preserve">is observed </w:t>
      </w:r>
      <w:r w:rsidR="00006185" w:rsidRPr="003E3DFC">
        <w:rPr>
          <w:lang w:val="en-GB"/>
        </w:rPr>
        <w:t xml:space="preserve">in the </w:t>
      </w:r>
      <w:r w:rsidR="00CF2DFB" w:rsidRPr="003E3DFC">
        <w:rPr>
          <w:lang w:val="en-GB"/>
        </w:rPr>
        <w:t xml:space="preserve">study </w:t>
      </w:r>
      <w:r w:rsidR="00006185" w:rsidRPr="003E3DFC">
        <w:rPr>
          <w:lang w:val="en-GB"/>
        </w:rPr>
        <w:t>period with a decrease of 12.4 p.p. from 2006 to 2013.</w:t>
      </w:r>
    </w:p>
    <w:p w14:paraId="518EF808" w14:textId="77777777" w:rsidR="0088150B" w:rsidRPr="003E3DFC" w:rsidRDefault="0088150B" w:rsidP="0088150B">
      <w:pPr>
        <w:pStyle w:val="NoSpacing"/>
        <w:rPr>
          <w:lang w:val="en-GB"/>
        </w:rPr>
      </w:pPr>
    </w:p>
    <w:p w14:paraId="74CE38D3" w14:textId="130C1BE6" w:rsidR="00F92EC7" w:rsidRPr="003E3DFC" w:rsidRDefault="00FE4C52" w:rsidP="0088150B">
      <w:pPr>
        <w:pStyle w:val="NoSpacing"/>
        <w:rPr>
          <w:lang w:val="en-GB"/>
        </w:rPr>
      </w:pPr>
      <w:r w:rsidRPr="003E3DFC">
        <w:rPr>
          <w:lang w:val="en-GB"/>
        </w:rPr>
        <w:t xml:space="preserve">A high level of complexity is involved in reducing female unemployment and it should be </w:t>
      </w:r>
      <w:r w:rsidR="00900BB1" w:rsidRPr="003E3DFC">
        <w:rPr>
          <w:lang w:val="en-GB"/>
        </w:rPr>
        <w:t>recognized</w:t>
      </w:r>
      <w:r w:rsidRPr="003E3DFC">
        <w:rPr>
          <w:lang w:val="en-GB"/>
        </w:rPr>
        <w:t xml:space="preserve"> that there is no easy or quick way to do this. Recognition that female unemployment is multidimensional concept with both quantitative and qualitative challenges is imperative to address this issue properly. Further recognition is also needed in terms of the causes and effects of female unemployment in the country. Female unemployment manifests, not only a loss to society in terms of forgone achievement, lost tax income, added expendi</w:t>
      </w:r>
      <w:r w:rsidR="00CF2DFB" w:rsidRPr="003E3DFC">
        <w:rPr>
          <w:lang w:val="en-GB"/>
        </w:rPr>
        <w:t>ture and slower economic growth. A</w:t>
      </w:r>
      <w:r w:rsidRPr="003E3DFC">
        <w:rPr>
          <w:lang w:val="en-GB"/>
        </w:rPr>
        <w:t xml:space="preserve">bove and beyond all, it causes individual suffering, a loss of personal dignity and material hardship on the part of the jobless and their families which makes it difficult to develop into a socially cohesive society and achieve the kind of sustainability needed to ensure future European integration and general well-being. The </w:t>
      </w:r>
      <w:r w:rsidR="00F92EC7" w:rsidRPr="003E3DFC">
        <w:rPr>
          <w:lang w:val="en-GB"/>
        </w:rPr>
        <w:t xml:space="preserve">Government of </w:t>
      </w:r>
      <w:r w:rsidR="00070C5D" w:rsidRPr="003E3DFC">
        <w:rPr>
          <w:lang w:val="en-GB"/>
        </w:rPr>
        <w:t xml:space="preserve">the </w:t>
      </w:r>
      <w:r w:rsidR="00F92EC7" w:rsidRPr="003E3DFC">
        <w:rPr>
          <w:lang w:val="en-GB"/>
        </w:rPr>
        <w:t>R</w:t>
      </w:r>
      <w:r w:rsidR="00120B7C" w:rsidRPr="003E3DFC">
        <w:rPr>
          <w:lang w:val="en-GB"/>
        </w:rPr>
        <w:t xml:space="preserve">. of </w:t>
      </w:r>
      <w:r w:rsidRPr="003E3DFC">
        <w:rPr>
          <w:lang w:val="en-GB"/>
        </w:rPr>
        <w:t>Macedonia s</w:t>
      </w:r>
      <w:r w:rsidR="00CF2DFB" w:rsidRPr="003E3DFC">
        <w:rPr>
          <w:lang w:val="en-GB"/>
        </w:rPr>
        <w:t>hould increase efforts to</w:t>
      </w:r>
      <w:r w:rsidR="00F92EC7" w:rsidRPr="003E3DFC">
        <w:rPr>
          <w:lang w:val="en-GB"/>
        </w:rPr>
        <w:t xml:space="preserve"> ensure that the </w:t>
      </w:r>
      <w:r w:rsidR="00E70C26" w:rsidRPr="003E3DFC">
        <w:rPr>
          <w:lang w:val="en-GB"/>
        </w:rPr>
        <w:t>institutional framework gover</w:t>
      </w:r>
      <w:r w:rsidR="00CF2DFB" w:rsidRPr="003E3DFC">
        <w:rPr>
          <w:lang w:val="en-GB"/>
        </w:rPr>
        <w:t>ning the female labour market</w:t>
      </w:r>
      <w:r w:rsidR="00F92EC7" w:rsidRPr="003E3DFC">
        <w:rPr>
          <w:lang w:val="en-GB"/>
        </w:rPr>
        <w:t xml:space="preserve"> </w:t>
      </w:r>
      <w:r w:rsidR="00E70C26" w:rsidRPr="003E3DFC">
        <w:rPr>
          <w:lang w:val="en-GB"/>
        </w:rPr>
        <w:t>address</w:t>
      </w:r>
      <w:r w:rsidR="00F92EC7" w:rsidRPr="003E3DFC">
        <w:rPr>
          <w:lang w:val="en-GB"/>
        </w:rPr>
        <w:t>es</w:t>
      </w:r>
      <w:r w:rsidR="00E70C26" w:rsidRPr="003E3DFC">
        <w:rPr>
          <w:lang w:val="en-GB"/>
        </w:rPr>
        <w:t xml:space="preserve"> and formulate</w:t>
      </w:r>
      <w:r w:rsidR="00F92EC7" w:rsidRPr="003E3DFC">
        <w:rPr>
          <w:lang w:val="en-GB"/>
        </w:rPr>
        <w:t>s</w:t>
      </w:r>
      <w:r w:rsidR="00E70C26" w:rsidRPr="003E3DFC">
        <w:rPr>
          <w:lang w:val="en-GB"/>
        </w:rPr>
        <w:t xml:space="preserve"> policies and measures in the future in a way that they effectively and inclusively address female employment </w:t>
      </w:r>
      <w:r w:rsidR="00BC3FA1" w:rsidRPr="003E3DFC">
        <w:rPr>
          <w:lang w:val="en-GB"/>
        </w:rPr>
        <w:t xml:space="preserve">across all regions and ethnic groups </w:t>
      </w:r>
      <w:r w:rsidR="00E70C26" w:rsidRPr="003E3DFC">
        <w:rPr>
          <w:lang w:val="en-GB"/>
        </w:rPr>
        <w:t>through inter</w:t>
      </w:r>
      <w:r w:rsidR="00F92EC7" w:rsidRPr="003E3DFC">
        <w:rPr>
          <w:lang w:val="en-GB"/>
        </w:rPr>
        <w:t xml:space="preserve">vention in key areas impacting female </w:t>
      </w:r>
      <w:r w:rsidR="00E70C26" w:rsidRPr="003E3DFC">
        <w:rPr>
          <w:lang w:val="en-GB"/>
        </w:rPr>
        <w:t>unemployment</w:t>
      </w:r>
      <w:r w:rsidR="00F92EC7" w:rsidRPr="003E3DFC">
        <w:rPr>
          <w:lang w:val="en-GB"/>
        </w:rPr>
        <w:t xml:space="preserve">. Macroeconomic development </w:t>
      </w:r>
      <w:r w:rsidR="00070C5D" w:rsidRPr="003E3DFC">
        <w:rPr>
          <w:lang w:val="en-GB"/>
        </w:rPr>
        <w:t>is the key</w:t>
      </w:r>
      <w:r w:rsidR="00F92EC7" w:rsidRPr="003E3DFC">
        <w:rPr>
          <w:lang w:val="en-GB"/>
        </w:rPr>
        <w:t xml:space="preserve"> in this context to ensure job creation, but </w:t>
      </w:r>
      <w:r w:rsidR="00BC3FA1" w:rsidRPr="003E3DFC">
        <w:rPr>
          <w:lang w:val="en-GB"/>
        </w:rPr>
        <w:t xml:space="preserve">equally important are </w:t>
      </w:r>
      <w:r w:rsidR="00F92EC7" w:rsidRPr="003E3DFC">
        <w:rPr>
          <w:lang w:val="en-GB"/>
        </w:rPr>
        <w:t>also tailored, inclusive, and reasonably funded Activ</w:t>
      </w:r>
      <w:r w:rsidR="00CF2DFB" w:rsidRPr="003E3DFC">
        <w:rPr>
          <w:lang w:val="en-GB"/>
        </w:rPr>
        <w:t>e Labour Market Measures (ALMM). To include also</w:t>
      </w:r>
      <w:r w:rsidR="00F92EC7" w:rsidRPr="003E3DFC">
        <w:rPr>
          <w:lang w:val="en-GB"/>
        </w:rPr>
        <w:t xml:space="preserve"> promotion and support of female entrepreneurship, reasonable access to child care facilities</w:t>
      </w:r>
      <w:r w:rsidR="00BC3FA1" w:rsidRPr="003E3DFC">
        <w:rPr>
          <w:lang w:val="en-GB"/>
        </w:rPr>
        <w:t>, improved</w:t>
      </w:r>
      <w:r w:rsidR="00F92EC7" w:rsidRPr="003E3DFC">
        <w:rPr>
          <w:lang w:val="en-GB"/>
        </w:rPr>
        <w:t xml:space="preserve"> access to high quality education and training to reduce skills mismatch</w:t>
      </w:r>
      <w:r w:rsidR="00BC3FA1" w:rsidRPr="003E3DFC">
        <w:rPr>
          <w:lang w:val="en-GB"/>
        </w:rPr>
        <w:t xml:space="preserve"> and the competitivenes</w:t>
      </w:r>
      <w:r w:rsidR="00CF2DFB" w:rsidRPr="003E3DFC">
        <w:rPr>
          <w:lang w:val="en-GB"/>
        </w:rPr>
        <w:t xml:space="preserve">s of women in the labour market. Key in this context is also the need for </w:t>
      </w:r>
      <w:r w:rsidR="00D31014" w:rsidRPr="003E3DFC">
        <w:rPr>
          <w:lang w:val="en-GB"/>
        </w:rPr>
        <w:t>improvement of the capacities of the National Employment Agency to be able to better support unemployed females</w:t>
      </w:r>
      <w:r w:rsidR="00BC3FA1" w:rsidRPr="003E3DFC">
        <w:rPr>
          <w:lang w:val="en-GB"/>
        </w:rPr>
        <w:t xml:space="preserve">. </w:t>
      </w:r>
    </w:p>
    <w:p w14:paraId="6C194B9F" w14:textId="77777777" w:rsidR="007F3819" w:rsidRPr="003E3DFC" w:rsidRDefault="007F3819" w:rsidP="0088150B">
      <w:pPr>
        <w:pStyle w:val="NoSpacing"/>
        <w:rPr>
          <w:lang w:val="en-GB"/>
        </w:rPr>
      </w:pPr>
    </w:p>
    <w:p w14:paraId="2666E267" w14:textId="1C2DFDFF" w:rsidR="006C29E0" w:rsidRPr="003E3DFC" w:rsidRDefault="006C29E0" w:rsidP="006C29E0">
      <w:pPr>
        <w:pStyle w:val="Heading1"/>
      </w:pPr>
      <w:r w:rsidRPr="003E3DFC">
        <w:t>References</w:t>
      </w:r>
    </w:p>
    <w:p w14:paraId="540844AF" w14:textId="77777777" w:rsidR="00A578A1" w:rsidRPr="003E3DFC" w:rsidRDefault="00A578A1" w:rsidP="00A578A1">
      <w:pPr>
        <w:autoSpaceDE w:val="0"/>
        <w:autoSpaceDN w:val="0"/>
        <w:adjustRightInd w:val="0"/>
        <w:spacing w:after="0"/>
        <w:rPr>
          <w:iCs/>
          <w:color w:val="FF0000"/>
          <w:szCs w:val="24"/>
        </w:rPr>
      </w:pPr>
    </w:p>
    <w:p w14:paraId="1806B640" w14:textId="6B549437" w:rsidR="002454BD" w:rsidRPr="003E3DFC" w:rsidRDefault="002454BD" w:rsidP="00A578A1">
      <w:pPr>
        <w:autoSpaceDE w:val="0"/>
        <w:autoSpaceDN w:val="0"/>
        <w:adjustRightInd w:val="0"/>
        <w:spacing w:after="0"/>
        <w:rPr>
          <w:szCs w:val="24"/>
          <w:lang w:eastAsia="en-GB"/>
        </w:rPr>
      </w:pPr>
      <w:r w:rsidRPr="003E3DFC">
        <w:rPr>
          <w:iCs/>
          <w:szCs w:val="20"/>
          <w:lang w:eastAsia="en-GB"/>
        </w:rPr>
        <w:t>Avlijaš, S., Ivanović, N., Vladisavljević, N., &amp; Vujić, S. (2013)</w:t>
      </w:r>
      <w:r w:rsidR="005D2711" w:rsidRPr="003E3DFC">
        <w:rPr>
          <w:iCs/>
          <w:szCs w:val="20"/>
          <w:lang w:eastAsia="en-GB"/>
        </w:rPr>
        <w:t xml:space="preserve">. </w:t>
      </w:r>
      <w:r w:rsidR="005D2711" w:rsidRPr="003E3DFC">
        <w:rPr>
          <w:i/>
          <w:iCs/>
          <w:szCs w:val="20"/>
          <w:lang w:eastAsia="en-GB"/>
        </w:rPr>
        <w:t>Gender pay gap in the Western Balkan countries: Evidence from Serbia, Montenegro and Macedonia</w:t>
      </w:r>
      <w:r w:rsidR="001F777F" w:rsidRPr="003E3DFC">
        <w:rPr>
          <w:i/>
          <w:iCs/>
          <w:szCs w:val="20"/>
          <w:lang w:eastAsia="en-GB"/>
        </w:rPr>
        <w:t xml:space="preserve"> (Research Project)</w:t>
      </w:r>
      <w:r w:rsidR="005D2711" w:rsidRPr="003E3DFC">
        <w:rPr>
          <w:iCs/>
          <w:szCs w:val="20"/>
          <w:lang w:eastAsia="en-GB"/>
        </w:rPr>
        <w:t xml:space="preserve">. </w:t>
      </w:r>
      <w:r w:rsidR="005D2711" w:rsidRPr="003E3DFC">
        <w:rPr>
          <w:szCs w:val="24"/>
          <w:lang w:eastAsia="en-GB"/>
        </w:rPr>
        <w:t>Foundation for the Advancement of Economics</w:t>
      </w:r>
    </w:p>
    <w:p w14:paraId="249C90C1" w14:textId="77777777" w:rsidR="005D2711" w:rsidRPr="003E3DFC" w:rsidRDefault="005D2711" w:rsidP="00A578A1">
      <w:pPr>
        <w:autoSpaceDE w:val="0"/>
        <w:autoSpaceDN w:val="0"/>
        <w:adjustRightInd w:val="0"/>
        <w:spacing w:after="0"/>
        <w:rPr>
          <w:iCs/>
          <w:color w:val="FF0000"/>
          <w:szCs w:val="24"/>
        </w:rPr>
      </w:pPr>
    </w:p>
    <w:p w14:paraId="5C3FE169" w14:textId="2F75BC14" w:rsidR="00F12F38" w:rsidRPr="003E3DFC" w:rsidRDefault="006268E9" w:rsidP="0002377E">
      <w:pPr>
        <w:autoSpaceDE w:val="0"/>
        <w:autoSpaceDN w:val="0"/>
        <w:adjustRightInd w:val="0"/>
        <w:spacing w:after="0"/>
        <w:rPr>
          <w:szCs w:val="24"/>
        </w:rPr>
      </w:pPr>
      <w:r w:rsidRPr="003E3DFC">
        <w:rPr>
          <w:iCs/>
          <w:szCs w:val="24"/>
        </w:rPr>
        <w:t xml:space="preserve">Brunnbauer, U. (2000). </w:t>
      </w:r>
      <w:r w:rsidRPr="003E3DFC">
        <w:rPr>
          <w:bCs/>
          <w:szCs w:val="24"/>
        </w:rPr>
        <w:t>From equality without democracy to democracy</w:t>
      </w:r>
      <w:r w:rsidRPr="003E3DFC">
        <w:rPr>
          <w:iCs/>
          <w:szCs w:val="24"/>
        </w:rPr>
        <w:t xml:space="preserve"> </w:t>
      </w:r>
      <w:r w:rsidRPr="003E3DFC">
        <w:rPr>
          <w:bCs/>
          <w:szCs w:val="24"/>
        </w:rPr>
        <w:t>without equality? Women and transition in southeast</w:t>
      </w:r>
      <w:r w:rsidRPr="003E3DFC">
        <w:rPr>
          <w:i/>
          <w:iCs/>
          <w:szCs w:val="24"/>
        </w:rPr>
        <w:t xml:space="preserve"> </w:t>
      </w:r>
      <w:r w:rsidRPr="003E3DFC">
        <w:rPr>
          <w:bCs/>
          <w:szCs w:val="24"/>
        </w:rPr>
        <w:t xml:space="preserve">Europe. </w:t>
      </w:r>
      <w:r w:rsidRPr="003E3DFC">
        <w:rPr>
          <w:i/>
          <w:szCs w:val="24"/>
        </w:rPr>
        <w:t xml:space="preserve">South-East </w:t>
      </w:r>
      <w:r w:rsidR="00A578A1" w:rsidRPr="003E3DFC">
        <w:rPr>
          <w:i/>
          <w:szCs w:val="24"/>
        </w:rPr>
        <w:t>Europe Review</w:t>
      </w:r>
      <w:r w:rsidR="00B90883" w:rsidRPr="003E3DFC">
        <w:rPr>
          <w:szCs w:val="24"/>
        </w:rPr>
        <w:t>, 3</w:t>
      </w:r>
      <w:r w:rsidR="001F777F" w:rsidRPr="003E3DFC">
        <w:rPr>
          <w:szCs w:val="24"/>
        </w:rPr>
        <w:t>/2000</w:t>
      </w:r>
      <w:r w:rsidR="00B90883" w:rsidRPr="003E3DFC">
        <w:rPr>
          <w:szCs w:val="24"/>
        </w:rPr>
        <w:t xml:space="preserve">, </w:t>
      </w:r>
      <w:r w:rsidR="00A578A1" w:rsidRPr="003E3DFC">
        <w:rPr>
          <w:szCs w:val="24"/>
        </w:rPr>
        <w:t>151 – 168.</w:t>
      </w:r>
    </w:p>
    <w:p w14:paraId="19B7724E" w14:textId="77777777" w:rsidR="00787114" w:rsidRPr="003E3DFC" w:rsidRDefault="00787114" w:rsidP="0002377E">
      <w:pPr>
        <w:autoSpaceDE w:val="0"/>
        <w:autoSpaceDN w:val="0"/>
        <w:adjustRightInd w:val="0"/>
        <w:spacing w:after="0"/>
        <w:rPr>
          <w:szCs w:val="24"/>
        </w:rPr>
      </w:pPr>
    </w:p>
    <w:p w14:paraId="31821AAC" w14:textId="70EEF6EE" w:rsidR="00A578A1" w:rsidRPr="003E3DFC" w:rsidRDefault="00A578A1" w:rsidP="007236E6">
      <w:pPr>
        <w:shd w:val="clear" w:color="auto" w:fill="FFFFFF"/>
        <w:rPr>
          <w:iCs/>
          <w:szCs w:val="24"/>
        </w:rPr>
      </w:pPr>
      <w:r w:rsidRPr="003E3DFC">
        <w:rPr>
          <w:iCs/>
          <w:szCs w:val="24"/>
        </w:rPr>
        <w:t xml:space="preserve">European Training Foundation (2013). </w:t>
      </w:r>
      <w:r w:rsidRPr="003E3DFC">
        <w:rPr>
          <w:i/>
          <w:iCs/>
          <w:szCs w:val="24"/>
        </w:rPr>
        <w:t>Former Yugoslav Republic of Macedonia - Review of Human Resources Development</w:t>
      </w:r>
      <w:r w:rsidRPr="003E3DFC">
        <w:rPr>
          <w:iCs/>
          <w:szCs w:val="24"/>
        </w:rPr>
        <w:t xml:space="preserve">. </w:t>
      </w:r>
      <w:r w:rsidR="007236E6" w:rsidRPr="003E3DFC">
        <w:rPr>
          <w:iCs/>
          <w:szCs w:val="24"/>
        </w:rPr>
        <w:t>Luxembourg: Publications Office of the European Union, 2013.</w:t>
      </w:r>
      <w:r w:rsidRPr="003E3DFC">
        <w:rPr>
          <w:iCs/>
          <w:szCs w:val="24"/>
        </w:rPr>
        <w:t>.</w:t>
      </w:r>
    </w:p>
    <w:p w14:paraId="06F4A36C" w14:textId="14D259E7" w:rsidR="006268E9" w:rsidRPr="003E3DFC" w:rsidRDefault="00A578A1" w:rsidP="0002377E">
      <w:pPr>
        <w:autoSpaceDE w:val="0"/>
        <w:autoSpaceDN w:val="0"/>
        <w:adjustRightInd w:val="0"/>
        <w:spacing w:after="0"/>
        <w:rPr>
          <w:iCs/>
          <w:szCs w:val="24"/>
        </w:rPr>
      </w:pPr>
      <w:r w:rsidRPr="003E3DFC">
        <w:rPr>
          <w:iCs/>
          <w:szCs w:val="24"/>
        </w:rPr>
        <w:t>EUROSTAT</w:t>
      </w:r>
      <w:r w:rsidR="00DA0880" w:rsidRPr="003E3DFC">
        <w:rPr>
          <w:iCs/>
          <w:szCs w:val="24"/>
        </w:rPr>
        <w:t xml:space="preserve"> </w:t>
      </w:r>
      <w:r w:rsidRPr="003E3DFC">
        <w:rPr>
          <w:iCs/>
          <w:szCs w:val="24"/>
        </w:rPr>
        <w:t>(2015)</w:t>
      </w:r>
      <w:r w:rsidR="00A717C9" w:rsidRPr="003E3DFC">
        <w:rPr>
          <w:iCs/>
          <w:szCs w:val="24"/>
        </w:rPr>
        <w:t>.</w:t>
      </w:r>
      <w:r w:rsidR="00DA0880" w:rsidRPr="003E3DFC">
        <w:rPr>
          <w:iCs/>
          <w:szCs w:val="24"/>
        </w:rPr>
        <w:t xml:space="preserve"> </w:t>
      </w:r>
      <w:r w:rsidR="00DA0880" w:rsidRPr="003E3DFC">
        <w:rPr>
          <w:i/>
          <w:iCs/>
          <w:szCs w:val="24"/>
        </w:rPr>
        <w:t>Labour Force Survey</w:t>
      </w:r>
      <w:r w:rsidR="00354062" w:rsidRPr="003E3DFC">
        <w:rPr>
          <w:i/>
          <w:iCs/>
          <w:szCs w:val="24"/>
        </w:rPr>
        <w:t xml:space="preserve"> 2014-2013</w:t>
      </w:r>
      <w:r w:rsidRPr="003E3DFC">
        <w:rPr>
          <w:iCs/>
          <w:szCs w:val="24"/>
        </w:rPr>
        <w:t xml:space="preserve">. </w:t>
      </w:r>
      <w:r w:rsidR="00DA0880" w:rsidRPr="003E3DFC">
        <w:rPr>
          <w:iCs/>
          <w:szCs w:val="24"/>
        </w:rPr>
        <w:t>Retrieved</w:t>
      </w:r>
      <w:r w:rsidRPr="003E3DFC">
        <w:rPr>
          <w:iCs/>
          <w:szCs w:val="24"/>
        </w:rPr>
        <w:t xml:space="preserve"> from: http://ec.europa.eu/eurostat/web/lfs/data/database.</w:t>
      </w:r>
    </w:p>
    <w:p w14:paraId="722E19EF" w14:textId="77777777" w:rsidR="00EC2B73" w:rsidRPr="003E3DFC" w:rsidRDefault="00EC2B73" w:rsidP="0002377E">
      <w:pPr>
        <w:autoSpaceDE w:val="0"/>
        <w:autoSpaceDN w:val="0"/>
        <w:adjustRightInd w:val="0"/>
        <w:spacing w:after="0"/>
        <w:rPr>
          <w:iCs/>
          <w:color w:val="FF0000"/>
          <w:szCs w:val="24"/>
        </w:rPr>
      </w:pPr>
    </w:p>
    <w:p w14:paraId="72F26A74" w14:textId="3BE7013B" w:rsidR="00586561" w:rsidRPr="003E3DFC" w:rsidRDefault="00586561" w:rsidP="0002377E">
      <w:pPr>
        <w:autoSpaceDE w:val="0"/>
        <w:autoSpaceDN w:val="0"/>
        <w:adjustRightInd w:val="0"/>
        <w:spacing w:after="0"/>
        <w:rPr>
          <w:iCs/>
          <w:szCs w:val="24"/>
        </w:rPr>
      </w:pPr>
      <w:r w:rsidRPr="003E3DFC">
        <w:rPr>
          <w:iCs/>
          <w:szCs w:val="24"/>
        </w:rPr>
        <w:t xml:space="preserve">Huyer, S. (2014). </w:t>
      </w:r>
      <w:r w:rsidRPr="003E3DFC">
        <w:rPr>
          <w:i/>
          <w:iCs/>
          <w:szCs w:val="24"/>
        </w:rPr>
        <w:t>Gender and Climate Change in Macedonia</w:t>
      </w:r>
      <w:r w:rsidR="00354062" w:rsidRPr="003E3DFC">
        <w:rPr>
          <w:iCs/>
          <w:szCs w:val="24"/>
        </w:rPr>
        <w:t>. Report</w:t>
      </w:r>
      <w:r w:rsidRPr="003E3DFC">
        <w:rPr>
          <w:iCs/>
          <w:szCs w:val="24"/>
        </w:rPr>
        <w:t xml:space="preserve">. </w:t>
      </w:r>
      <w:r w:rsidR="002A524E" w:rsidRPr="003E3DFC">
        <w:rPr>
          <w:szCs w:val="24"/>
        </w:rPr>
        <w:t xml:space="preserve">Third National Communication on Climate Change (TNC). </w:t>
      </w:r>
      <w:r w:rsidR="007236E6" w:rsidRPr="003E3DFC">
        <w:rPr>
          <w:szCs w:val="24"/>
        </w:rPr>
        <w:t xml:space="preserve">Skopje: </w:t>
      </w:r>
      <w:r w:rsidR="002A524E" w:rsidRPr="003E3DFC">
        <w:rPr>
          <w:szCs w:val="24"/>
        </w:rPr>
        <w:t>Ministry of Environment and Physical Planning of R. of Macedonia.</w:t>
      </w:r>
    </w:p>
    <w:p w14:paraId="58EAD13C" w14:textId="77777777" w:rsidR="00586561" w:rsidRPr="003E3DFC" w:rsidRDefault="00586561" w:rsidP="0002377E">
      <w:pPr>
        <w:autoSpaceDE w:val="0"/>
        <w:autoSpaceDN w:val="0"/>
        <w:adjustRightInd w:val="0"/>
        <w:spacing w:after="0"/>
        <w:rPr>
          <w:iCs/>
          <w:color w:val="FF0000"/>
          <w:szCs w:val="24"/>
        </w:rPr>
      </w:pPr>
    </w:p>
    <w:p w14:paraId="75D9BD23" w14:textId="715C4019" w:rsidR="006F05EC" w:rsidRPr="003E3DFC" w:rsidRDefault="006F05EC" w:rsidP="006F05EC">
      <w:pPr>
        <w:autoSpaceDE w:val="0"/>
        <w:autoSpaceDN w:val="0"/>
        <w:adjustRightInd w:val="0"/>
        <w:spacing w:after="0"/>
        <w:rPr>
          <w:bCs/>
          <w:i/>
          <w:szCs w:val="24"/>
        </w:rPr>
      </w:pPr>
      <w:r w:rsidRPr="003E3DFC">
        <w:rPr>
          <w:bCs/>
          <w:szCs w:val="24"/>
        </w:rPr>
        <w:t>Kjosev, S. (2007). Unemployme</w:t>
      </w:r>
      <w:r w:rsidR="007236E6" w:rsidRPr="003E3DFC">
        <w:rPr>
          <w:bCs/>
          <w:szCs w:val="24"/>
        </w:rPr>
        <w:t xml:space="preserve">nt in the Republic of Macedonia - </w:t>
      </w:r>
      <w:r w:rsidRPr="003E3DFC">
        <w:rPr>
          <w:bCs/>
          <w:szCs w:val="24"/>
        </w:rPr>
        <w:t xml:space="preserve">Specifics and possible solutions. </w:t>
      </w:r>
      <w:r w:rsidRPr="003E3DFC">
        <w:rPr>
          <w:bCs/>
          <w:i/>
          <w:szCs w:val="24"/>
        </w:rPr>
        <w:t>Economics and Organization</w:t>
      </w:r>
      <w:r w:rsidR="007236E6" w:rsidRPr="003E3DFC">
        <w:rPr>
          <w:bCs/>
          <w:i/>
          <w:szCs w:val="24"/>
        </w:rPr>
        <w:t>,</w:t>
      </w:r>
      <w:r w:rsidR="007236E6" w:rsidRPr="003E3DFC">
        <w:rPr>
          <w:i/>
          <w:szCs w:val="24"/>
        </w:rPr>
        <w:t xml:space="preserve"> 4/2, </w:t>
      </w:r>
      <w:r w:rsidRPr="003E3DFC">
        <w:rPr>
          <w:i/>
          <w:szCs w:val="24"/>
        </w:rPr>
        <w:t xml:space="preserve"> 153 - 160</w:t>
      </w:r>
    </w:p>
    <w:p w14:paraId="6B3F24DB" w14:textId="77777777" w:rsidR="006F05EC" w:rsidRPr="003E3DFC" w:rsidRDefault="006F05EC" w:rsidP="0002377E">
      <w:pPr>
        <w:autoSpaceDE w:val="0"/>
        <w:autoSpaceDN w:val="0"/>
        <w:adjustRightInd w:val="0"/>
        <w:spacing w:after="0"/>
        <w:rPr>
          <w:iCs/>
          <w:color w:val="FF0000"/>
          <w:szCs w:val="24"/>
        </w:rPr>
      </w:pPr>
    </w:p>
    <w:p w14:paraId="5765A643" w14:textId="0614038D" w:rsidR="00D17199" w:rsidRPr="003E3DFC" w:rsidRDefault="00D17199" w:rsidP="00D17199">
      <w:pPr>
        <w:pStyle w:val="Default"/>
        <w:rPr>
          <w:rFonts w:ascii="Times New Roman" w:hAnsi="Times New Roman" w:cs="Times New Roman"/>
          <w:i/>
          <w:iCs/>
          <w:color w:val="auto"/>
          <w:lang w:val="en-GB" w:eastAsia="en-US"/>
        </w:rPr>
      </w:pPr>
      <w:r w:rsidRPr="003E3DFC">
        <w:rPr>
          <w:rFonts w:ascii="Times New Roman" w:hAnsi="Times New Roman" w:cs="Times New Roman"/>
          <w:iCs/>
          <w:color w:val="auto"/>
          <w:lang w:val="en-GB" w:eastAsia="en-US"/>
        </w:rPr>
        <w:t>Lehmann, H. (2010). Macedonia’s Accession to the EU and the Labor Market: What Can Be Learne</w:t>
      </w:r>
      <w:r w:rsidR="007236E6" w:rsidRPr="003E3DFC">
        <w:rPr>
          <w:rFonts w:ascii="Times New Roman" w:hAnsi="Times New Roman" w:cs="Times New Roman"/>
          <w:iCs/>
          <w:color w:val="auto"/>
          <w:lang w:val="en-GB" w:eastAsia="en-US"/>
        </w:rPr>
        <w:t>d from the New Member States</w:t>
      </w:r>
      <w:r w:rsidR="00EC163B" w:rsidRPr="003E3DFC">
        <w:rPr>
          <w:rFonts w:ascii="Times New Roman" w:hAnsi="Times New Roman" w:cs="Times New Roman"/>
          <w:iCs/>
          <w:color w:val="auto"/>
          <w:lang w:val="en-GB" w:eastAsia="en-US"/>
        </w:rPr>
        <w:t xml:space="preserve"> (Policy Paper)</w:t>
      </w:r>
      <w:r w:rsidR="007236E6" w:rsidRPr="003E3DFC">
        <w:rPr>
          <w:rFonts w:ascii="Times New Roman" w:hAnsi="Times New Roman" w:cs="Times New Roman"/>
          <w:iCs/>
          <w:color w:val="auto"/>
          <w:lang w:val="en-GB" w:eastAsia="en-US"/>
        </w:rPr>
        <w:t xml:space="preserve">. </w:t>
      </w:r>
      <w:r w:rsidRPr="003E3DFC">
        <w:rPr>
          <w:rFonts w:ascii="Times New Roman" w:hAnsi="Times New Roman" w:cs="Times New Roman"/>
          <w:i/>
          <w:iCs/>
          <w:color w:val="auto"/>
          <w:lang w:val="en-GB" w:eastAsia="en-US"/>
        </w:rPr>
        <w:t>Bonn: Forschungsinstitut zur Zukunft der Arbeit.</w:t>
      </w:r>
    </w:p>
    <w:p w14:paraId="2A209D74" w14:textId="77777777" w:rsidR="00D17199" w:rsidRPr="003E3DFC" w:rsidRDefault="00D17199" w:rsidP="00D17199">
      <w:pPr>
        <w:autoSpaceDE w:val="0"/>
        <w:autoSpaceDN w:val="0"/>
        <w:adjustRightInd w:val="0"/>
        <w:spacing w:after="0"/>
        <w:rPr>
          <w:iCs/>
          <w:szCs w:val="24"/>
        </w:rPr>
      </w:pPr>
    </w:p>
    <w:p w14:paraId="0C9F5886" w14:textId="65AA0115" w:rsidR="002B0114" w:rsidRPr="003E3DFC" w:rsidRDefault="002B0114" w:rsidP="0002377E">
      <w:pPr>
        <w:autoSpaceDE w:val="0"/>
        <w:autoSpaceDN w:val="0"/>
        <w:adjustRightInd w:val="0"/>
        <w:spacing w:after="0"/>
        <w:rPr>
          <w:iCs/>
          <w:color w:val="FF0000"/>
          <w:szCs w:val="24"/>
        </w:rPr>
      </w:pPr>
      <w:r w:rsidRPr="003E3DFC">
        <w:rPr>
          <w:iCs/>
          <w:szCs w:val="24"/>
        </w:rPr>
        <w:t xml:space="preserve">Micevska, M (2008). The Labour Market in Macedonia: A Labour Demand Analysis. </w:t>
      </w:r>
      <w:r w:rsidR="00EC163B" w:rsidRPr="003E3DFC">
        <w:rPr>
          <w:i/>
          <w:iCs/>
          <w:szCs w:val="24"/>
        </w:rPr>
        <w:t>Labour</w:t>
      </w:r>
      <w:r w:rsidR="00EC163B" w:rsidRPr="003E3DFC">
        <w:rPr>
          <w:iCs/>
          <w:szCs w:val="24"/>
        </w:rPr>
        <w:t>, 22/2, 345–368.</w:t>
      </w:r>
    </w:p>
    <w:p w14:paraId="77C009FF" w14:textId="69051F74" w:rsidR="00AC5A7F" w:rsidRPr="003E3DFC" w:rsidRDefault="00AC5A7F" w:rsidP="00AC5A7F">
      <w:pPr>
        <w:autoSpaceDE w:val="0"/>
        <w:autoSpaceDN w:val="0"/>
        <w:adjustRightInd w:val="0"/>
        <w:spacing w:after="0"/>
        <w:rPr>
          <w:bCs/>
          <w:szCs w:val="24"/>
        </w:rPr>
      </w:pPr>
      <w:r w:rsidRPr="003E3DFC">
        <w:rPr>
          <w:bCs/>
          <w:szCs w:val="24"/>
        </w:rPr>
        <w:t xml:space="preserve">Mickovska-Raleva, N. and Dimitrijevska T. (2013). Gender equality in </w:t>
      </w:r>
      <w:r w:rsidR="00EC163B" w:rsidRPr="003E3DFC">
        <w:rPr>
          <w:bCs/>
          <w:szCs w:val="24"/>
        </w:rPr>
        <w:t>EU: How does Macedonia compare?</w:t>
      </w:r>
      <w:r w:rsidRPr="003E3DFC">
        <w:rPr>
          <w:bCs/>
          <w:szCs w:val="24"/>
        </w:rPr>
        <w:t xml:space="preserve"> Skopje</w:t>
      </w:r>
      <w:r w:rsidRPr="003E3DFC">
        <w:rPr>
          <w:bCs/>
          <w:i/>
          <w:szCs w:val="24"/>
        </w:rPr>
        <w:t xml:space="preserve">: Center for Research and Policy Making. </w:t>
      </w:r>
    </w:p>
    <w:p w14:paraId="5747C792" w14:textId="77777777" w:rsidR="00AC5A7F" w:rsidRPr="003E3DFC" w:rsidRDefault="00AC5A7F" w:rsidP="0002377E">
      <w:pPr>
        <w:autoSpaceDE w:val="0"/>
        <w:autoSpaceDN w:val="0"/>
        <w:adjustRightInd w:val="0"/>
        <w:spacing w:after="0"/>
        <w:rPr>
          <w:color w:val="FF0000"/>
        </w:rPr>
      </w:pPr>
    </w:p>
    <w:p w14:paraId="7185ED93" w14:textId="556CD494" w:rsidR="00586561" w:rsidRPr="003E3DFC" w:rsidRDefault="00586561" w:rsidP="00586561">
      <w:pPr>
        <w:autoSpaceDE w:val="0"/>
        <w:autoSpaceDN w:val="0"/>
        <w:adjustRightInd w:val="0"/>
        <w:spacing w:after="0"/>
        <w:rPr>
          <w:iCs/>
          <w:szCs w:val="24"/>
        </w:rPr>
      </w:pPr>
      <w:r w:rsidRPr="003E3DFC">
        <w:rPr>
          <w:iCs/>
          <w:szCs w:val="24"/>
        </w:rPr>
        <w:t xml:space="preserve">Mojsoska-Blazevski, N., Najdova, J., Stojkov, A. and Asenov, L. (2009). </w:t>
      </w:r>
      <w:r w:rsidRPr="003E3DFC">
        <w:rPr>
          <w:i/>
          <w:iCs/>
          <w:szCs w:val="24"/>
        </w:rPr>
        <w:t xml:space="preserve">Labour Market in the </w:t>
      </w:r>
      <w:r w:rsidR="00EC163B" w:rsidRPr="003E3DFC">
        <w:rPr>
          <w:i/>
          <w:iCs/>
          <w:szCs w:val="24"/>
        </w:rPr>
        <w:t>F</w:t>
      </w:r>
      <w:r w:rsidRPr="003E3DFC">
        <w:rPr>
          <w:i/>
          <w:iCs/>
          <w:szCs w:val="24"/>
        </w:rPr>
        <w:t>ormer Yugoslav Republic of Macedonia. A Study for the European Commission Employment</w:t>
      </w:r>
      <w:r w:rsidRPr="003E3DFC">
        <w:rPr>
          <w:iCs/>
          <w:szCs w:val="24"/>
        </w:rPr>
        <w:t>. Social Affairs and Equal Opportunities DG.</w:t>
      </w:r>
    </w:p>
    <w:p w14:paraId="39F804BB" w14:textId="77777777" w:rsidR="00586561" w:rsidRPr="003E3DFC" w:rsidRDefault="00586561" w:rsidP="00586561">
      <w:pPr>
        <w:autoSpaceDE w:val="0"/>
        <w:autoSpaceDN w:val="0"/>
        <w:adjustRightInd w:val="0"/>
        <w:spacing w:after="0"/>
        <w:rPr>
          <w:iCs/>
          <w:szCs w:val="24"/>
        </w:rPr>
      </w:pPr>
    </w:p>
    <w:p w14:paraId="7ADA5C29" w14:textId="77777777" w:rsidR="00586561" w:rsidRPr="003E3DFC" w:rsidRDefault="00586561" w:rsidP="00586561">
      <w:pPr>
        <w:autoSpaceDE w:val="0"/>
        <w:autoSpaceDN w:val="0"/>
        <w:adjustRightInd w:val="0"/>
        <w:spacing w:after="0"/>
        <w:rPr>
          <w:i/>
          <w:iCs/>
          <w:szCs w:val="24"/>
        </w:rPr>
      </w:pPr>
      <w:r w:rsidRPr="003E3DFC">
        <w:rPr>
          <w:iCs/>
          <w:szCs w:val="24"/>
        </w:rPr>
        <w:t xml:space="preserve">Mojsoska-Blazevski, N. (2012). </w:t>
      </w:r>
      <w:r w:rsidRPr="003E3DFC">
        <w:rPr>
          <w:i/>
          <w:iCs/>
          <w:szCs w:val="24"/>
        </w:rPr>
        <w:t>Challenges to successful employment policy in the region:</w:t>
      </w:r>
    </w:p>
    <w:p w14:paraId="260E961E" w14:textId="3C98374D" w:rsidR="00586561" w:rsidRPr="003E3DFC" w:rsidRDefault="00354062" w:rsidP="00586561">
      <w:pPr>
        <w:autoSpaceDE w:val="0"/>
        <w:autoSpaceDN w:val="0"/>
        <w:adjustRightInd w:val="0"/>
        <w:spacing w:after="0"/>
        <w:rPr>
          <w:iCs/>
          <w:szCs w:val="24"/>
        </w:rPr>
      </w:pPr>
      <w:r w:rsidRPr="003E3DFC">
        <w:rPr>
          <w:i/>
          <w:iCs/>
          <w:szCs w:val="24"/>
        </w:rPr>
        <w:t>Towards</w:t>
      </w:r>
      <w:r w:rsidR="00586561" w:rsidRPr="003E3DFC">
        <w:rPr>
          <w:i/>
          <w:iCs/>
          <w:szCs w:val="24"/>
        </w:rPr>
        <w:t xml:space="preserve"> more jobs, quality labour force and greater competitiveness</w:t>
      </w:r>
      <w:r w:rsidRPr="003E3DFC">
        <w:rPr>
          <w:iCs/>
          <w:szCs w:val="24"/>
        </w:rPr>
        <w:t xml:space="preserve">. </w:t>
      </w:r>
      <w:r w:rsidR="00586561" w:rsidRPr="003E3DFC">
        <w:rPr>
          <w:iCs/>
          <w:szCs w:val="24"/>
        </w:rPr>
        <w:t>Discussion Paper</w:t>
      </w:r>
      <w:r w:rsidRPr="003E3DFC">
        <w:rPr>
          <w:iCs/>
          <w:szCs w:val="24"/>
        </w:rPr>
        <w:t xml:space="preserve"> for the</w:t>
      </w:r>
      <w:r w:rsidR="00586561" w:rsidRPr="003E3DFC">
        <w:rPr>
          <w:iCs/>
          <w:szCs w:val="24"/>
        </w:rPr>
        <w:t xml:space="preserve"> Western Balkans Investment Framework.</w:t>
      </w:r>
    </w:p>
    <w:p w14:paraId="18A1D53E" w14:textId="77777777" w:rsidR="00586561" w:rsidRPr="003E3DFC" w:rsidRDefault="00586561" w:rsidP="00586561">
      <w:pPr>
        <w:autoSpaceDE w:val="0"/>
        <w:autoSpaceDN w:val="0"/>
        <w:adjustRightInd w:val="0"/>
        <w:spacing w:after="0"/>
        <w:rPr>
          <w:iCs/>
          <w:szCs w:val="24"/>
        </w:rPr>
      </w:pPr>
    </w:p>
    <w:p w14:paraId="137E64EC" w14:textId="3F435046" w:rsidR="00586561" w:rsidRPr="003E3DFC" w:rsidRDefault="00586561" w:rsidP="00586561">
      <w:pPr>
        <w:shd w:val="clear" w:color="auto" w:fill="FFFFFF"/>
        <w:rPr>
          <w:iCs/>
          <w:szCs w:val="24"/>
        </w:rPr>
      </w:pPr>
      <w:r w:rsidRPr="003E3DFC">
        <w:rPr>
          <w:iCs/>
          <w:szCs w:val="24"/>
        </w:rPr>
        <w:t xml:space="preserve">Mojsoska-Blazevski, N. </w:t>
      </w:r>
      <w:r w:rsidR="002038BA" w:rsidRPr="003E3DFC">
        <w:rPr>
          <w:iCs/>
          <w:szCs w:val="24"/>
        </w:rPr>
        <w:t>&amp;</w:t>
      </w:r>
      <w:r w:rsidRPr="003E3DFC">
        <w:rPr>
          <w:iCs/>
          <w:szCs w:val="24"/>
        </w:rPr>
        <w:t xml:space="preserve"> Kurtishi N. (2012). The Macedonian Labour Market: Wh</w:t>
      </w:r>
      <w:r w:rsidR="000F3813" w:rsidRPr="003E3DFC">
        <w:rPr>
          <w:iCs/>
          <w:szCs w:val="24"/>
        </w:rPr>
        <w:t>at makes it so different?.</w:t>
      </w:r>
      <w:r w:rsidRPr="003E3DFC">
        <w:rPr>
          <w:iCs/>
          <w:szCs w:val="24"/>
        </w:rPr>
        <w:t xml:space="preserve"> </w:t>
      </w:r>
      <w:r w:rsidRPr="003E3DFC">
        <w:rPr>
          <w:i/>
          <w:iCs/>
          <w:szCs w:val="24"/>
        </w:rPr>
        <w:t>Journal of Social Policy</w:t>
      </w:r>
      <w:r w:rsidR="00354062" w:rsidRPr="003E3DFC">
        <w:rPr>
          <w:iCs/>
          <w:szCs w:val="24"/>
        </w:rPr>
        <w:t>, 5/</w:t>
      </w:r>
      <w:r w:rsidRPr="003E3DFC">
        <w:rPr>
          <w:iCs/>
          <w:szCs w:val="24"/>
        </w:rPr>
        <w:t xml:space="preserve">.9. </w:t>
      </w:r>
    </w:p>
    <w:p w14:paraId="5813BCB5" w14:textId="7DA7DCA1" w:rsidR="00EC2B73" w:rsidRPr="003E3DFC" w:rsidRDefault="0017415C" w:rsidP="0017415C">
      <w:pPr>
        <w:autoSpaceDE w:val="0"/>
        <w:autoSpaceDN w:val="0"/>
        <w:adjustRightInd w:val="0"/>
        <w:spacing w:after="0"/>
        <w:rPr>
          <w:iCs/>
          <w:szCs w:val="24"/>
        </w:rPr>
      </w:pPr>
      <w:r w:rsidRPr="003E3DFC">
        <w:rPr>
          <w:iCs/>
          <w:szCs w:val="24"/>
        </w:rPr>
        <w:t>State Statistical Office</w:t>
      </w:r>
      <w:r w:rsidR="00DA0880" w:rsidRPr="003E3DFC">
        <w:rPr>
          <w:iCs/>
          <w:szCs w:val="24"/>
        </w:rPr>
        <w:t xml:space="preserve"> </w:t>
      </w:r>
      <w:r w:rsidR="00EC2B73" w:rsidRPr="003E3DFC">
        <w:rPr>
          <w:iCs/>
          <w:szCs w:val="24"/>
        </w:rPr>
        <w:t>(2008)</w:t>
      </w:r>
      <w:r w:rsidR="00DA0880" w:rsidRPr="003E3DFC">
        <w:rPr>
          <w:iCs/>
          <w:szCs w:val="24"/>
        </w:rPr>
        <w:t xml:space="preserve">. </w:t>
      </w:r>
      <w:r w:rsidR="00DA0880" w:rsidRPr="003E3DFC">
        <w:rPr>
          <w:i/>
          <w:iCs/>
          <w:szCs w:val="24"/>
        </w:rPr>
        <w:t>Labour Force Survey</w:t>
      </w:r>
      <w:r w:rsidR="00354062" w:rsidRPr="003E3DFC">
        <w:rPr>
          <w:i/>
          <w:iCs/>
          <w:szCs w:val="24"/>
        </w:rPr>
        <w:t xml:space="preserve"> 2008</w:t>
      </w:r>
      <w:r w:rsidR="00EC2B73" w:rsidRPr="003E3DFC">
        <w:rPr>
          <w:iCs/>
          <w:szCs w:val="24"/>
        </w:rPr>
        <w:t xml:space="preserve">. </w:t>
      </w:r>
      <w:r w:rsidR="00DA0880" w:rsidRPr="003E3DFC">
        <w:rPr>
          <w:iCs/>
          <w:szCs w:val="24"/>
        </w:rPr>
        <w:t>Retrieved</w:t>
      </w:r>
      <w:r w:rsidR="00EC2B73" w:rsidRPr="003E3DFC">
        <w:rPr>
          <w:iCs/>
          <w:szCs w:val="24"/>
        </w:rPr>
        <w:t xml:space="preserve"> from: </w:t>
      </w:r>
      <w:hyperlink r:id="rId16" w:history="1">
        <w:r w:rsidR="00EC2B73" w:rsidRPr="003E3DFC">
          <w:rPr>
            <w:iCs/>
            <w:szCs w:val="24"/>
          </w:rPr>
          <w:t>http://www.stat.gov.mk/PublikaciiPoOblast_en.aspx?id=3&amp;rbrObl=14</w:t>
        </w:r>
      </w:hyperlink>
      <w:r w:rsidR="00EC2B73" w:rsidRPr="003E3DFC">
        <w:rPr>
          <w:iCs/>
          <w:szCs w:val="24"/>
        </w:rPr>
        <w:t xml:space="preserve">. </w:t>
      </w:r>
    </w:p>
    <w:p w14:paraId="083B5628" w14:textId="77777777" w:rsidR="00EC2B73" w:rsidRPr="003E3DFC" w:rsidRDefault="00EC2B73" w:rsidP="0017415C">
      <w:pPr>
        <w:autoSpaceDE w:val="0"/>
        <w:autoSpaceDN w:val="0"/>
        <w:adjustRightInd w:val="0"/>
        <w:spacing w:after="0"/>
        <w:rPr>
          <w:iCs/>
          <w:szCs w:val="24"/>
        </w:rPr>
      </w:pPr>
    </w:p>
    <w:p w14:paraId="6764ED4F" w14:textId="5E65ACED" w:rsidR="00EC2B73" w:rsidRPr="003E3DFC" w:rsidRDefault="00DA0880" w:rsidP="0002377E">
      <w:pPr>
        <w:autoSpaceDE w:val="0"/>
        <w:autoSpaceDN w:val="0"/>
        <w:adjustRightInd w:val="0"/>
        <w:spacing w:after="0"/>
        <w:rPr>
          <w:iCs/>
          <w:szCs w:val="24"/>
        </w:rPr>
      </w:pPr>
      <w:r w:rsidRPr="003E3DFC">
        <w:rPr>
          <w:iCs/>
          <w:szCs w:val="24"/>
        </w:rPr>
        <w:t xml:space="preserve">State Statistical Office (2013). </w:t>
      </w:r>
      <w:r w:rsidRPr="003E3DFC">
        <w:rPr>
          <w:i/>
          <w:iCs/>
          <w:szCs w:val="24"/>
        </w:rPr>
        <w:t>Labour Force Survey</w:t>
      </w:r>
      <w:r w:rsidR="00354062" w:rsidRPr="003E3DFC">
        <w:rPr>
          <w:i/>
          <w:iCs/>
          <w:szCs w:val="24"/>
        </w:rPr>
        <w:t xml:space="preserve"> 2013</w:t>
      </w:r>
      <w:r w:rsidRPr="003E3DFC">
        <w:rPr>
          <w:iCs/>
          <w:szCs w:val="24"/>
        </w:rPr>
        <w:t>. Retrieved from:</w:t>
      </w:r>
      <w:r w:rsidR="00EC2B73" w:rsidRPr="003E3DFC">
        <w:rPr>
          <w:iCs/>
          <w:szCs w:val="24"/>
        </w:rPr>
        <w:t xml:space="preserve"> </w:t>
      </w:r>
      <w:hyperlink r:id="rId17" w:history="1">
        <w:r w:rsidR="00EC2B73" w:rsidRPr="003E3DFC">
          <w:rPr>
            <w:iCs/>
            <w:szCs w:val="24"/>
          </w:rPr>
          <w:t>http://www.stat.gov.mk/PublikaciiPoOblast_en.aspx?id=3&amp;rbrObl=14</w:t>
        </w:r>
      </w:hyperlink>
    </w:p>
    <w:p w14:paraId="25F0D30E" w14:textId="77777777" w:rsidR="00EC2B73" w:rsidRPr="003E3DFC" w:rsidRDefault="00EC2B73" w:rsidP="0017415C">
      <w:pPr>
        <w:autoSpaceDE w:val="0"/>
        <w:autoSpaceDN w:val="0"/>
        <w:adjustRightInd w:val="0"/>
        <w:spacing w:after="0"/>
        <w:rPr>
          <w:iCs/>
          <w:szCs w:val="24"/>
        </w:rPr>
      </w:pPr>
    </w:p>
    <w:p w14:paraId="22DD9462" w14:textId="1221CA60" w:rsidR="00EC2B73" w:rsidRPr="003E3DFC" w:rsidRDefault="00EC2B73" w:rsidP="0002377E">
      <w:pPr>
        <w:autoSpaceDE w:val="0"/>
        <w:autoSpaceDN w:val="0"/>
        <w:adjustRightInd w:val="0"/>
        <w:spacing w:after="0"/>
        <w:rPr>
          <w:iCs/>
          <w:szCs w:val="24"/>
        </w:rPr>
      </w:pPr>
      <w:r w:rsidRPr="003E3DFC">
        <w:rPr>
          <w:iCs/>
          <w:szCs w:val="24"/>
        </w:rPr>
        <w:t>U</w:t>
      </w:r>
      <w:r w:rsidR="0017415C" w:rsidRPr="003E3DFC">
        <w:rPr>
          <w:iCs/>
          <w:szCs w:val="24"/>
        </w:rPr>
        <w:t>nited</w:t>
      </w:r>
      <w:r w:rsidRPr="003E3DFC">
        <w:rPr>
          <w:iCs/>
          <w:szCs w:val="24"/>
        </w:rPr>
        <w:t xml:space="preserve"> N</w:t>
      </w:r>
      <w:r w:rsidR="0017415C" w:rsidRPr="003E3DFC">
        <w:rPr>
          <w:iCs/>
          <w:szCs w:val="24"/>
        </w:rPr>
        <w:t>ations</w:t>
      </w:r>
      <w:r w:rsidR="00A717C9" w:rsidRPr="003E3DFC">
        <w:rPr>
          <w:iCs/>
          <w:szCs w:val="24"/>
        </w:rPr>
        <w:t xml:space="preserve"> </w:t>
      </w:r>
      <w:r w:rsidRPr="003E3DFC">
        <w:rPr>
          <w:iCs/>
          <w:szCs w:val="24"/>
        </w:rPr>
        <w:t>(2013)</w:t>
      </w:r>
      <w:r w:rsidR="0017415C" w:rsidRPr="003E3DFC">
        <w:rPr>
          <w:iCs/>
          <w:szCs w:val="24"/>
        </w:rPr>
        <w:t>.</w:t>
      </w:r>
      <w:r w:rsidRPr="003E3DFC">
        <w:rPr>
          <w:iCs/>
          <w:szCs w:val="24"/>
        </w:rPr>
        <w:t xml:space="preserve"> </w:t>
      </w:r>
      <w:r w:rsidRPr="003E3DFC">
        <w:rPr>
          <w:i/>
          <w:iCs/>
          <w:szCs w:val="24"/>
        </w:rPr>
        <w:t>Report of the World Social Situation 2013</w:t>
      </w:r>
      <w:r w:rsidRPr="003E3DFC">
        <w:rPr>
          <w:iCs/>
          <w:szCs w:val="24"/>
        </w:rPr>
        <w:t xml:space="preserve">. Inequality Matters, Department </w:t>
      </w:r>
      <w:r w:rsidR="0017415C" w:rsidRPr="003E3DFC">
        <w:rPr>
          <w:iCs/>
          <w:szCs w:val="24"/>
        </w:rPr>
        <w:t>of Economic and Social Affairs.</w:t>
      </w:r>
    </w:p>
    <w:p w14:paraId="29923457" w14:textId="77777777" w:rsidR="00052490" w:rsidRPr="003E3DFC" w:rsidRDefault="00052490" w:rsidP="0002377E">
      <w:pPr>
        <w:autoSpaceDE w:val="0"/>
        <w:autoSpaceDN w:val="0"/>
        <w:adjustRightInd w:val="0"/>
        <w:spacing w:after="0"/>
        <w:rPr>
          <w:iCs/>
          <w:color w:val="FF0000"/>
          <w:szCs w:val="24"/>
        </w:rPr>
      </w:pPr>
    </w:p>
    <w:p w14:paraId="4276FCCC" w14:textId="6EFF978B" w:rsidR="00F51C29" w:rsidRPr="003E3DFC" w:rsidRDefault="00F51C29" w:rsidP="003247E7">
      <w:pPr>
        <w:pStyle w:val="Default"/>
        <w:rPr>
          <w:rFonts w:ascii="Times New Roman" w:hAnsi="Times New Roman" w:cs="Times New Roman"/>
          <w:iCs/>
          <w:color w:val="auto"/>
          <w:lang w:val="en-GB" w:eastAsia="en-US"/>
        </w:rPr>
      </w:pPr>
      <w:r w:rsidRPr="003E3DFC">
        <w:rPr>
          <w:rFonts w:ascii="Times New Roman" w:hAnsi="Times New Roman" w:cs="Times New Roman"/>
          <w:iCs/>
          <w:color w:val="auto"/>
          <w:lang w:val="en-GB" w:eastAsia="en-US"/>
        </w:rPr>
        <w:t>Woman for Economy - Economy for Women</w:t>
      </w:r>
      <w:r w:rsidR="003247E7" w:rsidRPr="003E3DFC">
        <w:rPr>
          <w:rFonts w:ascii="Times New Roman" w:hAnsi="Times New Roman" w:cs="Times New Roman"/>
          <w:iCs/>
          <w:color w:val="auto"/>
          <w:lang w:val="en-GB" w:eastAsia="en-US"/>
        </w:rPr>
        <w:t xml:space="preserve"> (2013). </w:t>
      </w:r>
      <w:r w:rsidR="003247E7" w:rsidRPr="003E3DFC">
        <w:rPr>
          <w:rFonts w:ascii="Times New Roman" w:hAnsi="Times New Roman" w:cs="Times New Roman"/>
          <w:i/>
          <w:iCs/>
          <w:color w:val="auto"/>
          <w:lang w:val="en-GB" w:eastAsia="en-US"/>
        </w:rPr>
        <w:t xml:space="preserve">Being a Woman in the </w:t>
      </w:r>
      <w:r w:rsidR="00BD17A8" w:rsidRPr="003E3DFC">
        <w:rPr>
          <w:rFonts w:ascii="Times New Roman" w:hAnsi="Times New Roman" w:cs="Times New Roman"/>
          <w:i/>
          <w:iCs/>
          <w:color w:val="auto"/>
          <w:lang w:val="en-GB" w:eastAsia="en-US"/>
        </w:rPr>
        <w:t>Balkans</w:t>
      </w:r>
      <w:r w:rsidR="003247E7" w:rsidRPr="003E3DFC">
        <w:rPr>
          <w:rFonts w:ascii="Times New Roman" w:hAnsi="Times New Roman" w:cs="Times New Roman"/>
          <w:i/>
          <w:iCs/>
          <w:color w:val="auto"/>
          <w:lang w:val="en-GB" w:eastAsia="en-US"/>
        </w:rPr>
        <w:t xml:space="preserve"> (Project)</w:t>
      </w:r>
      <w:r w:rsidR="003247E7" w:rsidRPr="003E3DFC">
        <w:rPr>
          <w:rFonts w:ascii="Times New Roman" w:hAnsi="Times New Roman" w:cs="Times New Roman"/>
          <w:iCs/>
          <w:color w:val="auto"/>
          <w:lang w:val="en-GB" w:eastAsia="en-US"/>
        </w:rPr>
        <w:t xml:space="preserve">.  Southeast Europe and the EU – Leadership Development Programme 2012/13. </w:t>
      </w:r>
    </w:p>
    <w:p w14:paraId="48F38D0D" w14:textId="77777777" w:rsidR="00F51C29" w:rsidRPr="003E3DFC" w:rsidRDefault="00F51C29" w:rsidP="0002377E">
      <w:pPr>
        <w:autoSpaceDE w:val="0"/>
        <w:autoSpaceDN w:val="0"/>
        <w:adjustRightInd w:val="0"/>
        <w:spacing w:after="0"/>
        <w:rPr>
          <w:iCs/>
          <w:color w:val="FF0000"/>
          <w:szCs w:val="24"/>
        </w:rPr>
      </w:pPr>
    </w:p>
    <w:p w14:paraId="68EEC50B" w14:textId="77777777" w:rsidR="004B3E09" w:rsidRPr="003E3DFC" w:rsidRDefault="004B3E09" w:rsidP="00052490">
      <w:pPr>
        <w:autoSpaceDE w:val="0"/>
        <w:autoSpaceDN w:val="0"/>
        <w:adjustRightInd w:val="0"/>
        <w:spacing w:after="0"/>
        <w:rPr>
          <w:iCs/>
          <w:szCs w:val="24"/>
        </w:rPr>
      </w:pPr>
      <w:r w:rsidRPr="003E3DFC">
        <w:rPr>
          <w:iCs/>
          <w:szCs w:val="24"/>
        </w:rPr>
        <w:lastRenderedPageBreak/>
        <w:t xml:space="preserve">World Bank (2008). </w:t>
      </w:r>
      <w:r w:rsidRPr="003E3DFC">
        <w:rPr>
          <w:i/>
          <w:iCs/>
          <w:szCs w:val="24"/>
        </w:rPr>
        <w:t>FYR Macedonia Labour Market Profile 2004-2007</w:t>
      </w:r>
      <w:r w:rsidRPr="003E3DFC">
        <w:rPr>
          <w:iCs/>
          <w:szCs w:val="24"/>
        </w:rPr>
        <w:t>. Policy Note. Human Development Sector Unit, Europe and Central Asia.</w:t>
      </w:r>
    </w:p>
    <w:p w14:paraId="2B0A363A" w14:textId="77777777" w:rsidR="004B3E09" w:rsidRPr="003E3DFC" w:rsidRDefault="004B3E09" w:rsidP="00052490">
      <w:pPr>
        <w:autoSpaceDE w:val="0"/>
        <w:autoSpaceDN w:val="0"/>
        <w:adjustRightInd w:val="0"/>
        <w:spacing w:after="0"/>
        <w:rPr>
          <w:iCs/>
          <w:szCs w:val="24"/>
        </w:rPr>
      </w:pPr>
    </w:p>
    <w:p w14:paraId="41CF12E1" w14:textId="77777777" w:rsidR="00052490" w:rsidRPr="003E3DFC" w:rsidRDefault="00052490" w:rsidP="00052490">
      <w:pPr>
        <w:autoSpaceDE w:val="0"/>
        <w:autoSpaceDN w:val="0"/>
        <w:adjustRightInd w:val="0"/>
        <w:spacing w:after="0"/>
        <w:rPr>
          <w:iCs/>
          <w:szCs w:val="24"/>
        </w:rPr>
      </w:pPr>
      <w:r w:rsidRPr="003E3DFC">
        <w:rPr>
          <w:iCs/>
          <w:szCs w:val="24"/>
        </w:rPr>
        <w:t xml:space="preserve">World Bank (2013). </w:t>
      </w:r>
      <w:r w:rsidRPr="003E3DFC">
        <w:rPr>
          <w:i/>
          <w:iCs/>
          <w:szCs w:val="24"/>
        </w:rPr>
        <w:t>FYR Macedonia: Gender Diagnostic - Gaps in Endowments, Access to Economic Opportunities and Agency</w:t>
      </w:r>
      <w:r w:rsidRPr="003E3DFC">
        <w:rPr>
          <w:iCs/>
          <w:szCs w:val="24"/>
        </w:rPr>
        <w:t>. Poverty Reduction and Economic Management Unit</w:t>
      </w:r>
    </w:p>
    <w:p w14:paraId="40142A57" w14:textId="37283F2D" w:rsidR="00052490" w:rsidRPr="003E3DFC" w:rsidRDefault="00052490" w:rsidP="00052490">
      <w:pPr>
        <w:autoSpaceDE w:val="0"/>
        <w:autoSpaceDN w:val="0"/>
        <w:adjustRightInd w:val="0"/>
        <w:spacing w:after="0"/>
        <w:rPr>
          <w:iCs/>
          <w:szCs w:val="24"/>
        </w:rPr>
      </w:pPr>
      <w:r w:rsidRPr="003E3DFC">
        <w:rPr>
          <w:iCs/>
          <w:szCs w:val="24"/>
        </w:rPr>
        <w:t>Europe and Central Asia Region</w:t>
      </w:r>
      <w:r w:rsidR="00140655" w:rsidRPr="003E3DFC">
        <w:rPr>
          <w:iCs/>
          <w:szCs w:val="24"/>
        </w:rPr>
        <w:t>.</w:t>
      </w:r>
    </w:p>
    <w:p w14:paraId="60A914F5" w14:textId="77777777" w:rsidR="002B0114" w:rsidRPr="003E3DFC" w:rsidRDefault="002B0114" w:rsidP="00052490">
      <w:pPr>
        <w:autoSpaceDE w:val="0"/>
        <w:autoSpaceDN w:val="0"/>
        <w:adjustRightInd w:val="0"/>
        <w:spacing w:after="0"/>
        <w:rPr>
          <w:iCs/>
          <w:szCs w:val="24"/>
        </w:rPr>
      </w:pPr>
    </w:p>
    <w:sectPr w:rsidR="002B0114" w:rsidRPr="003E3DFC" w:rsidSect="007F381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76FEA" w14:textId="77777777" w:rsidR="00DA6DC5" w:rsidRDefault="00DA6DC5" w:rsidP="00F7138B">
      <w:pPr>
        <w:spacing w:after="0"/>
      </w:pPr>
      <w:r>
        <w:separator/>
      </w:r>
    </w:p>
  </w:endnote>
  <w:endnote w:type="continuationSeparator" w:id="0">
    <w:p w14:paraId="44655B80" w14:textId="77777777" w:rsidR="00DA6DC5" w:rsidRDefault="00DA6DC5" w:rsidP="00F7138B">
      <w:pPr>
        <w:spacing w:after="0"/>
      </w:pPr>
      <w:r>
        <w:continuationSeparator/>
      </w:r>
    </w:p>
  </w:endnote>
  <w:endnote w:id="1">
    <w:p w14:paraId="138A34E5" w14:textId="77777777" w:rsidR="003E3DFC" w:rsidRPr="00C518B0" w:rsidRDefault="003E3DFC" w:rsidP="00DA551E">
      <w:pPr>
        <w:pStyle w:val="EndnoteText"/>
        <w:rPr>
          <w:lang w:val="en-US"/>
        </w:rPr>
      </w:pPr>
      <w:r>
        <w:rPr>
          <w:rStyle w:val="EndnoteReference"/>
        </w:rPr>
        <w:endnoteRef/>
      </w:r>
      <w:r>
        <w:t xml:space="preserve"> </w:t>
      </w:r>
      <w:r>
        <w:rPr>
          <w:lang w:val="en-US"/>
        </w:rPr>
        <w:t>Also referred to as economically active population, the Labor Force includes all employed and unemployed persons.</w:t>
      </w:r>
    </w:p>
  </w:endnote>
  <w:endnote w:id="2">
    <w:p w14:paraId="7ADDFAAA" w14:textId="77777777" w:rsidR="003E3DFC" w:rsidRPr="00EB5819" w:rsidRDefault="003E3DFC">
      <w:pPr>
        <w:pStyle w:val="EndnoteText"/>
        <w:rPr>
          <w:lang w:val="en-US"/>
        </w:rPr>
      </w:pPr>
      <w:r>
        <w:rPr>
          <w:rStyle w:val="EndnoteReference"/>
        </w:rPr>
        <w:endnoteRef/>
      </w:r>
      <w:r>
        <w:t xml:space="preserve"> P</w:t>
      </w:r>
      <w:r w:rsidRPr="00EB5819">
        <w:t>articipation of the labour force in the working age population aged between 15 and 64 (Eurostat)</w:t>
      </w:r>
    </w:p>
  </w:endnote>
  <w:endnote w:id="3">
    <w:p w14:paraId="30E64CDC" w14:textId="77777777" w:rsidR="003E3DFC" w:rsidRPr="00EB5819" w:rsidRDefault="003E3DFC">
      <w:pPr>
        <w:pStyle w:val="EndnoteText"/>
        <w:rPr>
          <w:lang w:val="en-US"/>
        </w:rPr>
      </w:pPr>
      <w:r>
        <w:rPr>
          <w:rStyle w:val="EndnoteReference"/>
        </w:rPr>
        <w:endnoteRef/>
      </w:r>
      <w:r>
        <w:t xml:space="preserve"> </w:t>
      </w:r>
      <w:r>
        <w:rPr>
          <w:lang w:val="en-US"/>
        </w:rPr>
        <w:t xml:space="preserve">Inactive population includes </w:t>
      </w:r>
      <w:r w:rsidRPr="00EB5819">
        <w:rPr>
          <w:lang w:val="en-US"/>
        </w:rPr>
        <w:t>all persons that did not work for even one hour in the reporting week, and these are: Pupils and students, retired individuals, housewives, persons who are supported by others (or by the state) or who support themselves with a different kind of income (i.e. remittances, rent and interest).</w:t>
      </w:r>
    </w:p>
  </w:endnote>
  <w:endnote w:id="4">
    <w:p w14:paraId="0E1F6C91" w14:textId="77777777" w:rsidR="003E3DFC" w:rsidRPr="00EB5819" w:rsidRDefault="003E3DFC" w:rsidP="00EB5819">
      <w:pPr>
        <w:pStyle w:val="EndnoteText"/>
      </w:pPr>
      <w:r w:rsidRPr="006303F6">
        <w:rPr>
          <w:rStyle w:val="EndnoteReference"/>
        </w:rPr>
        <w:endnoteRef/>
      </w:r>
      <w:r w:rsidRPr="006303F6">
        <w:t xml:space="preserve"> Employment rate, as participation of the number of employed in the working ag</w:t>
      </w:r>
      <w:r>
        <w:t>e population aged 15 - 64 years.</w:t>
      </w:r>
    </w:p>
  </w:endnote>
  <w:endnote w:id="5">
    <w:p w14:paraId="2F022F40" w14:textId="7A54810E" w:rsidR="003E3DFC" w:rsidRPr="002E66BD" w:rsidRDefault="003E3DFC" w:rsidP="002E66BD">
      <w:pPr>
        <w:pStyle w:val="EndnoteText"/>
      </w:pPr>
      <w:r>
        <w:rPr>
          <w:rStyle w:val="EndnoteReference"/>
        </w:rPr>
        <w:endnoteRef/>
      </w:r>
      <w:r>
        <w:t xml:space="preserve"> According to the Macedonian National Council for Gender Equality, as cited by </w:t>
      </w:r>
      <w:r w:rsidRPr="002E66BD">
        <w:t>Woman for Economy - Economy for Women (2013)</w:t>
      </w:r>
      <w:r>
        <w:t>, for the same job and with the same education, women earn 20% less than men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920F" w14:textId="3ACE876F" w:rsidR="003E3DFC" w:rsidRDefault="003E3DFC">
    <w:pPr>
      <w:pStyle w:val="Footer"/>
      <w:jc w:val="right"/>
    </w:pPr>
    <w:r>
      <w:fldChar w:fldCharType="begin"/>
    </w:r>
    <w:r>
      <w:instrText xml:space="preserve"> PAGE   \* MERGEFORMAT </w:instrText>
    </w:r>
    <w:r>
      <w:fldChar w:fldCharType="separate"/>
    </w:r>
    <w:r w:rsidR="00F97D52">
      <w:rPr>
        <w:noProof/>
      </w:rPr>
      <w:t>1</w:t>
    </w:r>
    <w:r>
      <w:rPr>
        <w:noProof/>
      </w:rPr>
      <w:fldChar w:fldCharType="end"/>
    </w:r>
  </w:p>
  <w:p w14:paraId="5E8F2935" w14:textId="77777777" w:rsidR="003E3DFC" w:rsidRDefault="003E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6E7F" w14:textId="77777777" w:rsidR="00DA6DC5" w:rsidRDefault="00DA6DC5" w:rsidP="00F7138B">
      <w:pPr>
        <w:spacing w:after="0"/>
      </w:pPr>
      <w:r>
        <w:separator/>
      </w:r>
    </w:p>
  </w:footnote>
  <w:footnote w:type="continuationSeparator" w:id="0">
    <w:p w14:paraId="4DF564B7" w14:textId="77777777" w:rsidR="00DA6DC5" w:rsidRDefault="00DA6DC5" w:rsidP="00F7138B">
      <w:pPr>
        <w:spacing w:after="0"/>
      </w:pPr>
      <w:r>
        <w:continuationSeparator/>
      </w:r>
    </w:p>
  </w:footnote>
  <w:footnote w:id="1">
    <w:p w14:paraId="6694A594" w14:textId="77777777" w:rsidR="003E3DFC" w:rsidRPr="00FF0A6D" w:rsidRDefault="003E3DFC">
      <w:pPr>
        <w:pStyle w:val="FootnoteText"/>
        <w:rPr>
          <w:lang w:val="en-US"/>
        </w:rPr>
      </w:pPr>
      <w:r w:rsidRPr="006303F6">
        <w:rPr>
          <w:rStyle w:val="FootnoteReference"/>
        </w:rPr>
        <w:footnoteRef/>
      </w:r>
      <w:r w:rsidRPr="006303F6">
        <w:t>Unemployment rate, as participation of the number of unemployed in the total labour force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651"/>
    <w:multiLevelType w:val="hybridMultilevel"/>
    <w:tmpl w:val="C5EEF232"/>
    <w:lvl w:ilvl="0" w:tplc="02CCCC1E">
      <w:start w:val="1"/>
      <w:numFmt w:val="bullet"/>
      <w:lvlText w:val=""/>
      <w:lvlJc w:val="left"/>
      <w:pPr>
        <w:tabs>
          <w:tab w:val="num" w:pos="720"/>
        </w:tabs>
        <w:ind w:left="720" w:hanging="360"/>
      </w:pPr>
      <w:rPr>
        <w:rFonts w:ascii="Wingdings 3" w:hAnsi="Wingdings 3" w:hint="default"/>
      </w:rPr>
    </w:lvl>
    <w:lvl w:ilvl="1" w:tplc="24D686E4" w:tentative="1">
      <w:start w:val="1"/>
      <w:numFmt w:val="bullet"/>
      <w:lvlText w:val=""/>
      <w:lvlJc w:val="left"/>
      <w:pPr>
        <w:tabs>
          <w:tab w:val="num" w:pos="1440"/>
        </w:tabs>
        <w:ind w:left="1440" w:hanging="360"/>
      </w:pPr>
      <w:rPr>
        <w:rFonts w:ascii="Wingdings 3" w:hAnsi="Wingdings 3" w:hint="default"/>
      </w:rPr>
    </w:lvl>
    <w:lvl w:ilvl="2" w:tplc="7AFA646A" w:tentative="1">
      <w:start w:val="1"/>
      <w:numFmt w:val="bullet"/>
      <w:lvlText w:val=""/>
      <w:lvlJc w:val="left"/>
      <w:pPr>
        <w:tabs>
          <w:tab w:val="num" w:pos="2160"/>
        </w:tabs>
        <w:ind w:left="2160" w:hanging="360"/>
      </w:pPr>
      <w:rPr>
        <w:rFonts w:ascii="Wingdings 3" w:hAnsi="Wingdings 3" w:hint="default"/>
      </w:rPr>
    </w:lvl>
    <w:lvl w:ilvl="3" w:tplc="D1728A2A" w:tentative="1">
      <w:start w:val="1"/>
      <w:numFmt w:val="bullet"/>
      <w:lvlText w:val=""/>
      <w:lvlJc w:val="left"/>
      <w:pPr>
        <w:tabs>
          <w:tab w:val="num" w:pos="2880"/>
        </w:tabs>
        <w:ind w:left="2880" w:hanging="360"/>
      </w:pPr>
      <w:rPr>
        <w:rFonts w:ascii="Wingdings 3" w:hAnsi="Wingdings 3" w:hint="default"/>
      </w:rPr>
    </w:lvl>
    <w:lvl w:ilvl="4" w:tplc="D1BCA14A" w:tentative="1">
      <w:start w:val="1"/>
      <w:numFmt w:val="bullet"/>
      <w:lvlText w:val=""/>
      <w:lvlJc w:val="left"/>
      <w:pPr>
        <w:tabs>
          <w:tab w:val="num" w:pos="3600"/>
        </w:tabs>
        <w:ind w:left="3600" w:hanging="360"/>
      </w:pPr>
      <w:rPr>
        <w:rFonts w:ascii="Wingdings 3" w:hAnsi="Wingdings 3" w:hint="default"/>
      </w:rPr>
    </w:lvl>
    <w:lvl w:ilvl="5" w:tplc="2AD6975C" w:tentative="1">
      <w:start w:val="1"/>
      <w:numFmt w:val="bullet"/>
      <w:lvlText w:val=""/>
      <w:lvlJc w:val="left"/>
      <w:pPr>
        <w:tabs>
          <w:tab w:val="num" w:pos="4320"/>
        </w:tabs>
        <w:ind w:left="4320" w:hanging="360"/>
      </w:pPr>
      <w:rPr>
        <w:rFonts w:ascii="Wingdings 3" w:hAnsi="Wingdings 3" w:hint="default"/>
      </w:rPr>
    </w:lvl>
    <w:lvl w:ilvl="6" w:tplc="1F2C3544" w:tentative="1">
      <w:start w:val="1"/>
      <w:numFmt w:val="bullet"/>
      <w:lvlText w:val=""/>
      <w:lvlJc w:val="left"/>
      <w:pPr>
        <w:tabs>
          <w:tab w:val="num" w:pos="5040"/>
        </w:tabs>
        <w:ind w:left="5040" w:hanging="360"/>
      </w:pPr>
      <w:rPr>
        <w:rFonts w:ascii="Wingdings 3" w:hAnsi="Wingdings 3" w:hint="default"/>
      </w:rPr>
    </w:lvl>
    <w:lvl w:ilvl="7" w:tplc="F2D67BEC" w:tentative="1">
      <w:start w:val="1"/>
      <w:numFmt w:val="bullet"/>
      <w:lvlText w:val=""/>
      <w:lvlJc w:val="left"/>
      <w:pPr>
        <w:tabs>
          <w:tab w:val="num" w:pos="5760"/>
        </w:tabs>
        <w:ind w:left="5760" w:hanging="360"/>
      </w:pPr>
      <w:rPr>
        <w:rFonts w:ascii="Wingdings 3" w:hAnsi="Wingdings 3" w:hint="default"/>
      </w:rPr>
    </w:lvl>
    <w:lvl w:ilvl="8" w:tplc="7B66940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1C3E83"/>
    <w:multiLevelType w:val="hybridMultilevel"/>
    <w:tmpl w:val="F46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79B2"/>
    <w:multiLevelType w:val="hybridMultilevel"/>
    <w:tmpl w:val="CF50D648"/>
    <w:lvl w:ilvl="0" w:tplc="2F5EB088">
      <w:start w:val="1"/>
      <w:numFmt w:val="bullet"/>
      <w:lvlText w:val=""/>
      <w:lvlJc w:val="left"/>
      <w:pPr>
        <w:tabs>
          <w:tab w:val="num" w:pos="720"/>
        </w:tabs>
        <w:ind w:left="720" w:hanging="360"/>
      </w:pPr>
      <w:rPr>
        <w:rFonts w:ascii="Wingdings 3" w:hAnsi="Wingdings 3" w:hint="default"/>
      </w:rPr>
    </w:lvl>
    <w:lvl w:ilvl="1" w:tplc="E37E1810" w:tentative="1">
      <w:start w:val="1"/>
      <w:numFmt w:val="bullet"/>
      <w:lvlText w:val=""/>
      <w:lvlJc w:val="left"/>
      <w:pPr>
        <w:tabs>
          <w:tab w:val="num" w:pos="1440"/>
        </w:tabs>
        <w:ind w:left="1440" w:hanging="360"/>
      </w:pPr>
      <w:rPr>
        <w:rFonts w:ascii="Wingdings 3" w:hAnsi="Wingdings 3" w:hint="default"/>
      </w:rPr>
    </w:lvl>
    <w:lvl w:ilvl="2" w:tplc="8FF8A28C" w:tentative="1">
      <w:start w:val="1"/>
      <w:numFmt w:val="bullet"/>
      <w:lvlText w:val=""/>
      <w:lvlJc w:val="left"/>
      <w:pPr>
        <w:tabs>
          <w:tab w:val="num" w:pos="2160"/>
        </w:tabs>
        <w:ind w:left="2160" w:hanging="360"/>
      </w:pPr>
      <w:rPr>
        <w:rFonts w:ascii="Wingdings 3" w:hAnsi="Wingdings 3" w:hint="default"/>
      </w:rPr>
    </w:lvl>
    <w:lvl w:ilvl="3" w:tplc="4C4EAF32" w:tentative="1">
      <w:start w:val="1"/>
      <w:numFmt w:val="bullet"/>
      <w:lvlText w:val=""/>
      <w:lvlJc w:val="left"/>
      <w:pPr>
        <w:tabs>
          <w:tab w:val="num" w:pos="2880"/>
        </w:tabs>
        <w:ind w:left="2880" w:hanging="360"/>
      </w:pPr>
      <w:rPr>
        <w:rFonts w:ascii="Wingdings 3" w:hAnsi="Wingdings 3" w:hint="default"/>
      </w:rPr>
    </w:lvl>
    <w:lvl w:ilvl="4" w:tplc="8ADC9BFA" w:tentative="1">
      <w:start w:val="1"/>
      <w:numFmt w:val="bullet"/>
      <w:lvlText w:val=""/>
      <w:lvlJc w:val="left"/>
      <w:pPr>
        <w:tabs>
          <w:tab w:val="num" w:pos="3600"/>
        </w:tabs>
        <w:ind w:left="3600" w:hanging="360"/>
      </w:pPr>
      <w:rPr>
        <w:rFonts w:ascii="Wingdings 3" w:hAnsi="Wingdings 3" w:hint="default"/>
      </w:rPr>
    </w:lvl>
    <w:lvl w:ilvl="5" w:tplc="3C9228BA" w:tentative="1">
      <w:start w:val="1"/>
      <w:numFmt w:val="bullet"/>
      <w:lvlText w:val=""/>
      <w:lvlJc w:val="left"/>
      <w:pPr>
        <w:tabs>
          <w:tab w:val="num" w:pos="4320"/>
        </w:tabs>
        <w:ind w:left="4320" w:hanging="360"/>
      </w:pPr>
      <w:rPr>
        <w:rFonts w:ascii="Wingdings 3" w:hAnsi="Wingdings 3" w:hint="default"/>
      </w:rPr>
    </w:lvl>
    <w:lvl w:ilvl="6" w:tplc="BF22019C" w:tentative="1">
      <w:start w:val="1"/>
      <w:numFmt w:val="bullet"/>
      <w:lvlText w:val=""/>
      <w:lvlJc w:val="left"/>
      <w:pPr>
        <w:tabs>
          <w:tab w:val="num" w:pos="5040"/>
        </w:tabs>
        <w:ind w:left="5040" w:hanging="360"/>
      </w:pPr>
      <w:rPr>
        <w:rFonts w:ascii="Wingdings 3" w:hAnsi="Wingdings 3" w:hint="default"/>
      </w:rPr>
    </w:lvl>
    <w:lvl w:ilvl="7" w:tplc="FD1CA30A" w:tentative="1">
      <w:start w:val="1"/>
      <w:numFmt w:val="bullet"/>
      <w:lvlText w:val=""/>
      <w:lvlJc w:val="left"/>
      <w:pPr>
        <w:tabs>
          <w:tab w:val="num" w:pos="5760"/>
        </w:tabs>
        <w:ind w:left="5760" w:hanging="360"/>
      </w:pPr>
      <w:rPr>
        <w:rFonts w:ascii="Wingdings 3" w:hAnsi="Wingdings 3" w:hint="default"/>
      </w:rPr>
    </w:lvl>
    <w:lvl w:ilvl="8" w:tplc="23221BD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A65232"/>
    <w:multiLevelType w:val="hybridMultilevel"/>
    <w:tmpl w:val="14008254"/>
    <w:lvl w:ilvl="0" w:tplc="71A681EA">
      <w:start w:val="1"/>
      <w:numFmt w:val="bullet"/>
      <w:lvlText w:val=""/>
      <w:lvlJc w:val="left"/>
      <w:pPr>
        <w:tabs>
          <w:tab w:val="num" w:pos="720"/>
        </w:tabs>
        <w:ind w:left="720" w:hanging="360"/>
      </w:pPr>
      <w:rPr>
        <w:rFonts w:ascii="Wingdings 3" w:hAnsi="Wingdings 3" w:hint="default"/>
      </w:rPr>
    </w:lvl>
    <w:lvl w:ilvl="1" w:tplc="95568340" w:tentative="1">
      <w:start w:val="1"/>
      <w:numFmt w:val="bullet"/>
      <w:lvlText w:val=""/>
      <w:lvlJc w:val="left"/>
      <w:pPr>
        <w:tabs>
          <w:tab w:val="num" w:pos="1440"/>
        </w:tabs>
        <w:ind w:left="1440" w:hanging="360"/>
      </w:pPr>
      <w:rPr>
        <w:rFonts w:ascii="Wingdings 3" w:hAnsi="Wingdings 3" w:hint="default"/>
      </w:rPr>
    </w:lvl>
    <w:lvl w:ilvl="2" w:tplc="B0E24978" w:tentative="1">
      <w:start w:val="1"/>
      <w:numFmt w:val="bullet"/>
      <w:lvlText w:val=""/>
      <w:lvlJc w:val="left"/>
      <w:pPr>
        <w:tabs>
          <w:tab w:val="num" w:pos="2160"/>
        </w:tabs>
        <w:ind w:left="2160" w:hanging="360"/>
      </w:pPr>
      <w:rPr>
        <w:rFonts w:ascii="Wingdings 3" w:hAnsi="Wingdings 3" w:hint="default"/>
      </w:rPr>
    </w:lvl>
    <w:lvl w:ilvl="3" w:tplc="F6548B0A" w:tentative="1">
      <w:start w:val="1"/>
      <w:numFmt w:val="bullet"/>
      <w:lvlText w:val=""/>
      <w:lvlJc w:val="left"/>
      <w:pPr>
        <w:tabs>
          <w:tab w:val="num" w:pos="2880"/>
        </w:tabs>
        <w:ind w:left="2880" w:hanging="360"/>
      </w:pPr>
      <w:rPr>
        <w:rFonts w:ascii="Wingdings 3" w:hAnsi="Wingdings 3" w:hint="default"/>
      </w:rPr>
    </w:lvl>
    <w:lvl w:ilvl="4" w:tplc="61C2C804" w:tentative="1">
      <w:start w:val="1"/>
      <w:numFmt w:val="bullet"/>
      <w:lvlText w:val=""/>
      <w:lvlJc w:val="left"/>
      <w:pPr>
        <w:tabs>
          <w:tab w:val="num" w:pos="3600"/>
        </w:tabs>
        <w:ind w:left="3600" w:hanging="360"/>
      </w:pPr>
      <w:rPr>
        <w:rFonts w:ascii="Wingdings 3" w:hAnsi="Wingdings 3" w:hint="default"/>
      </w:rPr>
    </w:lvl>
    <w:lvl w:ilvl="5" w:tplc="D42AE858" w:tentative="1">
      <w:start w:val="1"/>
      <w:numFmt w:val="bullet"/>
      <w:lvlText w:val=""/>
      <w:lvlJc w:val="left"/>
      <w:pPr>
        <w:tabs>
          <w:tab w:val="num" w:pos="4320"/>
        </w:tabs>
        <w:ind w:left="4320" w:hanging="360"/>
      </w:pPr>
      <w:rPr>
        <w:rFonts w:ascii="Wingdings 3" w:hAnsi="Wingdings 3" w:hint="default"/>
      </w:rPr>
    </w:lvl>
    <w:lvl w:ilvl="6" w:tplc="092E8C20" w:tentative="1">
      <w:start w:val="1"/>
      <w:numFmt w:val="bullet"/>
      <w:lvlText w:val=""/>
      <w:lvlJc w:val="left"/>
      <w:pPr>
        <w:tabs>
          <w:tab w:val="num" w:pos="5040"/>
        </w:tabs>
        <w:ind w:left="5040" w:hanging="360"/>
      </w:pPr>
      <w:rPr>
        <w:rFonts w:ascii="Wingdings 3" w:hAnsi="Wingdings 3" w:hint="default"/>
      </w:rPr>
    </w:lvl>
    <w:lvl w:ilvl="7" w:tplc="089A6FA4" w:tentative="1">
      <w:start w:val="1"/>
      <w:numFmt w:val="bullet"/>
      <w:lvlText w:val=""/>
      <w:lvlJc w:val="left"/>
      <w:pPr>
        <w:tabs>
          <w:tab w:val="num" w:pos="5760"/>
        </w:tabs>
        <w:ind w:left="5760" w:hanging="360"/>
      </w:pPr>
      <w:rPr>
        <w:rFonts w:ascii="Wingdings 3" w:hAnsi="Wingdings 3" w:hint="default"/>
      </w:rPr>
    </w:lvl>
    <w:lvl w:ilvl="8" w:tplc="49F0E02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D13DD2"/>
    <w:multiLevelType w:val="hybridMultilevel"/>
    <w:tmpl w:val="C1AC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4104"/>
    <w:multiLevelType w:val="hybridMultilevel"/>
    <w:tmpl w:val="DC1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1AD6"/>
    <w:multiLevelType w:val="hybridMultilevel"/>
    <w:tmpl w:val="81AC1CC8"/>
    <w:lvl w:ilvl="0" w:tplc="A5D8F4D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00F03"/>
    <w:multiLevelType w:val="hybridMultilevel"/>
    <w:tmpl w:val="DDE4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3B34"/>
    <w:multiLevelType w:val="hybridMultilevel"/>
    <w:tmpl w:val="FCF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D368E"/>
    <w:multiLevelType w:val="hybridMultilevel"/>
    <w:tmpl w:val="CA6C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B2EC2"/>
    <w:multiLevelType w:val="hybridMultilevel"/>
    <w:tmpl w:val="EE8E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148E3"/>
    <w:multiLevelType w:val="hybridMultilevel"/>
    <w:tmpl w:val="D63A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32C5F"/>
    <w:multiLevelType w:val="hybridMultilevel"/>
    <w:tmpl w:val="F1B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94FED"/>
    <w:multiLevelType w:val="hybridMultilevel"/>
    <w:tmpl w:val="DD88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A0A50"/>
    <w:multiLevelType w:val="hybridMultilevel"/>
    <w:tmpl w:val="90B2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B4DE9"/>
    <w:multiLevelType w:val="hybridMultilevel"/>
    <w:tmpl w:val="4D7E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E492D"/>
    <w:multiLevelType w:val="hybridMultilevel"/>
    <w:tmpl w:val="21C8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D0A13"/>
    <w:multiLevelType w:val="hybridMultilevel"/>
    <w:tmpl w:val="765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B7010"/>
    <w:multiLevelType w:val="hybridMultilevel"/>
    <w:tmpl w:val="BF92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63ACB"/>
    <w:multiLevelType w:val="hybridMultilevel"/>
    <w:tmpl w:val="7A6A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1626F"/>
    <w:multiLevelType w:val="hybridMultilevel"/>
    <w:tmpl w:val="1D70AFE8"/>
    <w:lvl w:ilvl="0" w:tplc="04F69F64">
      <w:start w:val="1"/>
      <w:numFmt w:val="bullet"/>
      <w:lvlText w:val=""/>
      <w:lvlJc w:val="left"/>
      <w:pPr>
        <w:tabs>
          <w:tab w:val="num" w:pos="720"/>
        </w:tabs>
        <w:ind w:left="720" w:hanging="360"/>
      </w:pPr>
      <w:rPr>
        <w:rFonts w:ascii="Wingdings 3" w:hAnsi="Wingdings 3" w:hint="default"/>
      </w:rPr>
    </w:lvl>
    <w:lvl w:ilvl="1" w:tplc="67C20D34" w:tentative="1">
      <w:start w:val="1"/>
      <w:numFmt w:val="bullet"/>
      <w:lvlText w:val=""/>
      <w:lvlJc w:val="left"/>
      <w:pPr>
        <w:tabs>
          <w:tab w:val="num" w:pos="1440"/>
        </w:tabs>
        <w:ind w:left="1440" w:hanging="360"/>
      </w:pPr>
      <w:rPr>
        <w:rFonts w:ascii="Wingdings 3" w:hAnsi="Wingdings 3" w:hint="default"/>
      </w:rPr>
    </w:lvl>
    <w:lvl w:ilvl="2" w:tplc="F14ED358" w:tentative="1">
      <w:start w:val="1"/>
      <w:numFmt w:val="bullet"/>
      <w:lvlText w:val=""/>
      <w:lvlJc w:val="left"/>
      <w:pPr>
        <w:tabs>
          <w:tab w:val="num" w:pos="2160"/>
        </w:tabs>
        <w:ind w:left="2160" w:hanging="360"/>
      </w:pPr>
      <w:rPr>
        <w:rFonts w:ascii="Wingdings 3" w:hAnsi="Wingdings 3" w:hint="default"/>
      </w:rPr>
    </w:lvl>
    <w:lvl w:ilvl="3" w:tplc="82B6FB1E" w:tentative="1">
      <w:start w:val="1"/>
      <w:numFmt w:val="bullet"/>
      <w:lvlText w:val=""/>
      <w:lvlJc w:val="left"/>
      <w:pPr>
        <w:tabs>
          <w:tab w:val="num" w:pos="2880"/>
        </w:tabs>
        <w:ind w:left="2880" w:hanging="360"/>
      </w:pPr>
      <w:rPr>
        <w:rFonts w:ascii="Wingdings 3" w:hAnsi="Wingdings 3" w:hint="default"/>
      </w:rPr>
    </w:lvl>
    <w:lvl w:ilvl="4" w:tplc="6C325978" w:tentative="1">
      <w:start w:val="1"/>
      <w:numFmt w:val="bullet"/>
      <w:lvlText w:val=""/>
      <w:lvlJc w:val="left"/>
      <w:pPr>
        <w:tabs>
          <w:tab w:val="num" w:pos="3600"/>
        </w:tabs>
        <w:ind w:left="3600" w:hanging="360"/>
      </w:pPr>
      <w:rPr>
        <w:rFonts w:ascii="Wingdings 3" w:hAnsi="Wingdings 3" w:hint="default"/>
      </w:rPr>
    </w:lvl>
    <w:lvl w:ilvl="5" w:tplc="AAC28160" w:tentative="1">
      <w:start w:val="1"/>
      <w:numFmt w:val="bullet"/>
      <w:lvlText w:val=""/>
      <w:lvlJc w:val="left"/>
      <w:pPr>
        <w:tabs>
          <w:tab w:val="num" w:pos="4320"/>
        </w:tabs>
        <w:ind w:left="4320" w:hanging="360"/>
      </w:pPr>
      <w:rPr>
        <w:rFonts w:ascii="Wingdings 3" w:hAnsi="Wingdings 3" w:hint="default"/>
      </w:rPr>
    </w:lvl>
    <w:lvl w:ilvl="6" w:tplc="DF265EE8" w:tentative="1">
      <w:start w:val="1"/>
      <w:numFmt w:val="bullet"/>
      <w:lvlText w:val=""/>
      <w:lvlJc w:val="left"/>
      <w:pPr>
        <w:tabs>
          <w:tab w:val="num" w:pos="5040"/>
        </w:tabs>
        <w:ind w:left="5040" w:hanging="360"/>
      </w:pPr>
      <w:rPr>
        <w:rFonts w:ascii="Wingdings 3" w:hAnsi="Wingdings 3" w:hint="default"/>
      </w:rPr>
    </w:lvl>
    <w:lvl w:ilvl="7" w:tplc="6F5A3FF6" w:tentative="1">
      <w:start w:val="1"/>
      <w:numFmt w:val="bullet"/>
      <w:lvlText w:val=""/>
      <w:lvlJc w:val="left"/>
      <w:pPr>
        <w:tabs>
          <w:tab w:val="num" w:pos="5760"/>
        </w:tabs>
        <w:ind w:left="5760" w:hanging="360"/>
      </w:pPr>
      <w:rPr>
        <w:rFonts w:ascii="Wingdings 3" w:hAnsi="Wingdings 3" w:hint="default"/>
      </w:rPr>
    </w:lvl>
    <w:lvl w:ilvl="8" w:tplc="3EDE2CC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D417E9A"/>
    <w:multiLevelType w:val="hybridMultilevel"/>
    <w:tmpl w:val="777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9"/>
  </w:num>
  <w:num w:numId="6">
    <w:abstractNumId w:val="1"/>
  </w:num>
  <w:num w:numId="7">
    <w:abstractNumId w:val="18"/>
  </w:num>
  <w:num w:numId="8">
    <w:abstractNumId w:val="11"/>
  </w:num>
  <w:num w:numId="9">
    <w:abstractNumId w:val="16"/>
  </w:num>
  <w:num w:numId="10">
    <w:abstractNumId w:val="5"/>
  </w:num>
  <w:num w:numId="11">
    <w:abstractNumId w:val="21"/>
  </w:num>
  <w:num w:numId="12">
    <w:abstractNumId w:val="17"/>
  </w:num>
  <w:num w:numId="13">
    <w:abstractNumId w:val="14"/>
  </w:num>
  <w:num w:numId="14">
    <w:abstractNumId w:val="10"/>
  </w:num>
  <w:num w:numId="15">
    <w:abstractNumId w:val="12"/>
  </w:num>
  <w:num w:numId="16">
    <w:abstractNumId w:val="15"/>
  </w:num>
  <w:num w:numId="17">
    <w:abstractNumId w:val="8"/>
  </w:num>
  <w:num w:numId="18">
    <w:abstractNumId w:val="20"/>
  </w:num>
  <w:num w:numId="19">
    <w:abstractNumId w:val="4"/>
  </w:num>
  <w:num w:numId="20">
    <w:abstractNumId w:val="13"/>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1E"/>
    <w:rsid w:val="00002B19"/>
    <w:rsid w:val="00006185"/>
    <w:rsid w:val="0002377E"/>
    <w:rsid w:val="00047AD9"/>
    <w:rsid w:val="00052490"/>
    <w:rsid w:val="00070C5D"/>
    <w:rsid w:val="00072E71"/>
    <w:rsid w:val="00072ECC"/>
    <w:rsid w:val="00081FB0"/>
    <w:rsid w:val="000854B4"/>
    <w:rsid w:val="000B4323"/>
    <w:rsid w:val="000C3304"/>
    <w:rsid w:val="000C4BC4"/>
    <w:rsid w:val="000D36C2"/>
    <w:rsid w:val="000E542F"/>
    <w:rsid w:val="000F3813"/>
    <w:rsid w:val="000F577E"/>
    <w:rsid w:val="00103D4D"/>
    <w:rsid w:val="00120B7C"/>
    <w:rsid w:val="00140655"/>
    <w:rsid w:val="0014458A"/>
    <w:rsid w:val="00166D2E"/>
    <w:rsid w:val="0017415C"/>
    <w:rsid w:val="00186300"/>
    <w:rsid w:val="00194D93"/>
    <w:rsid w:val="001B0F9F"/>
    <w:rsid w:val="001B1136"/>
    <w:rsid w:val="001B6FD9"/>
    <w:rsid w:val="001D34D7"/>
    <w:rsid w:val="001E4FA3"/>
    <w:rsid w:val="001E7C1C"/>
    <w:rsid w:val="001F2A84"/>
    <w:rsid w:val="001F3D67"/>
    <w:rsid w:val="001F777F"/>
    <w:rsid w:val="002038BA"/>
    <w:rsid w:val="002063FA"/>
    <w:rsid w:val="0021445C"/>
    <w:rsid w:val="002145A8"/>
    <w:rsid w:val="0024167F"/>
    <w:rsid w:val="002454BD"/>
    <w:rsid w:val="00250D43"/>
    <w:rsid w:val="00253AB5"/>
    <w:rsid w:val="002610C3"/>
    <w:rsid w:val="00266D8E"/>
    <w:rsid w:val="00267C7E"/>
    <w:rsid w:val="00271F05"/>
    <w:rsid w:val="0028123B"/>
    <w:rsid w:val="002A524E"/>
    <w:rsid w:val="002B0114"/>
    <w:rsid w:val="002E66BD"/>
    <w:rsid w:val="002F18CD"/>
    <w:rsid w:val="002F2CAE"/>
    <w:rsid w:val="002F35B8"/>
    <w:rsid w:val="002F5CD6"/>
    <w:rsid w:val="00304ED4"/>
    <w:rsid w:val="00306A8D"/>
    <w:rsid w:val="003247E7"/>
    <w:rsid w:val="00335F47"/>
    <w:rsid w:val="00354062"/>
    <w:rsid w:val="00361B58"/>
    <w:rsid w:val="00363955"/>
    <w:rsid w:val="00371DD1"/>
    <w:rsid w:val="003763DE"/>
    <w:rsid w:val="00376B7F"/>
    <w:rsid w:val="00377E69"/>
    <w:rsid w:val="003823A1"/>
    <w:rsid w:val="0038348B"/>
    <w:rsid w:val="00391B84"/>
    <w:rsid w:val="003A10C0"/>
    <w:rsid w:val="003A756A"/>
    <w:rsid w:val="003B11B9"/>
    <w:rsid w:val="003B2F61"/>
    <w:rsid w:val="003C337E"/>
    <w:rsid w:val="003D0C21"/>
    <w:rsid w:val="003E3DFC"/>
    <w:rsid w:val="003F1A12"/>
    <w:rsid w:val="003F58C9"/>
    <w:rsid w:val="0040425E"/>
    <w:rsid w:val="00420112"/>
    <w:rsid w:val="004363A8"/>
    <w:rsid w:val="00437216"/>
    <w:rsid w:val="00454FD6"/>
    <w:rsid w:val="00470E17"/>
    <w:rsid w:val="00490E0E"/>
    <w:rsid w:val="004A6FC2"/>
    <w:rsid w:val="004B3E09"/>
    <w:rsid w:val="004D369F"/>
    <w:rsid w:val="004E021A"/>
    <w:rsid w:val="0051072B"/>
    <w:rsid w:val="00511969"/>
    <w:rsid w:val="005255C7"/>
    <w:rsid w:val="00530084"/>
    <w:rsid w:val="005342AD"/>
    <w:rsid w:val="00544310"/>
    <w:rsid w:val="0056717B"/>
    <w:rsid w:val="0057162C"/>
    <w:rsid w:val="0057529D"/>
    <w:rsid w:val="00577EA4"/>
    <w:rsid w:val="00581BAF"/>
    <w:rsid w:val="00586561"/>
    <w:rsid w:val="00587A7D"/>
    <w:rsid w:val="00591C91"/>
    <w:rsid w:val="005A77B6"/>
    <w:rsid w:val="005B2AC7"/>
    <w:rsid w:val="005C46E9"/>
    <w:rsid w:val="005D2711"/>
    <w:rsid w:val="005D3541"/>
    <w:rsid w:val="005D6E8A"/>
    <w:rsid w:val="005E626A"/>
    <w:rsid w:val="005F0150"/>
    <w:rsid w:val="005F2D1C"/>
    <w:rsid w:val="005F55D5"/>
    <w:rsid w:val="00613E7D"/>
    <w:rsid w:val="0061626B"/>
    <w:rsid w:val="006215AB"/>
    <w:rsid w:val="006268E9"/>
    <w:rsid w:val="006303F6"/>
    <w:rsid w:val="006409E9"/>
    <w:rsid w:val="006423DC"/>
    <w:rsid w:val="00662EFB"/>
    <w:rsid w:val="0066613D"/>
    <w:rsid w:val="006814A5"/>
    <w:rsid w:val="0069731E"/>
    <w:rsid w:val="006A57FD"/>
    <w:rsid w:val="006A6830"/>
    <w:rsid w:val="006A73F2"/>
    <w:rsid w:val="006B2F8A"/>
    <w:rsid w:val="006B76C9"/>
    <w:rsid w:val="006C06C9"/>
    <w:rsid w:val="006C29E0"/>
    <w:rsid w:val="006D0496"/>
    <w:rsid w:val="006D636A"/>
    <w:rsid w:val="006E09F5"/>
    <w:rsid w:val="006E17A1"/>
    <w:rsid w:val="006F05EC"/>
    <w:rsid w:val="0070067C"/>
    <w:rsid w:val="00703176"/>
    <w:rsid w:val="00711010"/>
    <w:rsid w:val="00711EE4"/>
    <w:rsid w:val="007236E6"/>
    <w:rsid w:val="0072440D"/>
    <w:rsid w:val="007251F2"/>
    <w:rsid w:val="00730EF5"/>
    <w:rsid w:val="007347D8"/>
    <w:rsid w:val="0074182A"/>
    <w:rsid w:val="00745AB3"/>
    <w:rsid w:val="00751131"/>
    <w:rsid w:val="00752550"/>
    <w:rsid w:val="007542B0"/>
    <w:rsid w:val="00787114"/>
    <w:rsid w:val="007B7482"/>
    <w:rsid w:val="007C0E8C"/>
    <w:rsid w:val="007C7C51"/>
    <w:rsid w:val="007D31EC"/>
    <w:rsid w:val="007E40A1"/>
    <w:rsid w:val="007F0627"/>
    <w:rsid w:val="007F3819"/>
    <w:rsid w:val="0081429E"/>
    <w:rsid w:val="00825953"/>
    <w:rsid w:val="00843DB9"/>
    <w:rsid w:val="00845525"/>
    <w:rsid w:val="00873C25"/>
    <w:rsid w:val="00875E9C"/>
    <w:rsid w:val="0088015D"/>
    <w:rsid w:val="0088150B"/>
    <w:rsid w:val="00884259"/>
    <w:rsid w:val="00892F1B"/>
    <w:rsid w:val="008A3116"/>
    <w:rsid w:val="008A3E03"/>
    <w:rsid w:val="008B282C"/>
    <w:rsid w:val="008C4F6C"/>
    <w:rsid w:val="008E358C"/>
    <w:rsid w:val="008F5EB2"/>
    <w:rsid w:val="00900BB1"/>
    <w:rsid w:val="00903FF7"/>
    <w:rsid w:val="00913773"/>
    <w:rsid w:val="0091411E"/>
    <w:rsid w:val="00940D21"/>
    <w:rsid w:val="00942130"/>
    <w:rsid w:val="0095332D"/>
    <w:rsid w:val="009545D0"/>
    <w:rsid w:val="00954E75"/>
    <w:rsid w:val="00961D06"/>
    <w:rsid w:val="00976DE2"/>
    <w:rsid w:val="00977A25"/>
    <w:rsid w:val="009A7E4F"/>
    <w:rsid w:val="009B3A05"/>
    <w:rsid w:val="009C56AD"/>
    <w:rsid w:val="009C7B03"/>
    <w:rsid w:val="009C7D1A"/>
    <w:rsid w:val="009D2A4E"/>
    <w:rsid w:val="009D4003"/>
    <w:rsid w:val="009D469E"/>
    <w:rsid w:val="009E414F"/>
    <w:rsid w:val="009E4828"/>
    <w:rsid w:val="009F743A"/>
    <w:rsid w:val="00A01B61"/>
    <w:rsid w:val="00A036E6"/>
    <w:rsid w:val="00A257F8"/>
    <w:rsid w:val="00A269A5"/>
    <w:rsid w:val="00A276A4"/>
    <w:rsid w:val="00A578A1"/>
    <w:rsid w:val="00A67772"/>
    <w:rsid w:val="00A717C9"/>
    <w:rsid w:val="00A80198"/>
    <w:rsid w:val="00A80AAE"/>
    <w:rsid w:val="00A915DF"/>
    <w:rsid w:val="00A91728"/>
    <w:rsid w:val="00A9762F"/>
    <w:rsid w:val="00AA13D6"/>
    <w:rsid w:val="00AA4AE6"/>
    <w:rsid w:val="00AA653B"/>
    <w:rsid w:val="00AC1D7F"/>
    <w:rsid w:val="00AC5A7F"/>
    <w:rsid w:val="00AD72B2"/>
    <w:rsid w:val="00AE2BEE"/>
    <w:rsid w:val="00AE4FFE"/>
    <w:rsid w:val="00AF0ED0"/>
    <w:rsid w:val="00B07FA7"/>
    <w:rsid w:val="00B10C43"/>
    <w:rsid w:val="00B13016"/>
    <w:rsid w:val="00B22926"/>
    <w:rsid w:val="00B2620D"/>
    <w:rsid w:val="00B3116B"/>
    <w:rsid w:val="00B459B6"/>
    <w:rsid w:val="00B64EAF"/>
    <w:rsid w:val="00B75819"/>
    <w:rsid w:val="00B80334"/>
    <w:rsid w:val="00B85809"/>
    <w:rsid w:val="00B87BCD"/>
    <w:rsid w:val="00B90883"/>
    <w:rsid w:val="00BA7898"/>
    <w:rsid w:val="00BB76F9"/>
    <w:rsid w:val="00BC067A"/>
    <w:rsid w:val="00BC3FA1"/>
    <w:rsid w:val="00BD17A8"/>
    <w:rsid w:val="00BD64F3"/>
    <w:rsid w:val="00BD766D"/>
    <w:rsid w:val="00BE6882"/>
    <w:rsid w:val="00BF105F"/>
    <w:rsid w:val="00BF2343"/>
    <w:rsid w:val="00BF2E2B"/>
    <w:rsid w:val="00BF417F"/>
    <w:rsid w:val="00BF4637"/>
    <w:rsid w:val="00C14CBA"/>
    <w:rsid w:val="00C25DEF"/>
    <w:rsid w:val="00C30864"/>
    <w:rsid w:val="00C319AE"/>
    <w:rsid w:val="00C36D8C"/>
    <w:rsid w:val="00C518B0"/>
    <w:rsid w:val="00C51BAC"/>
    <w:rsid w:val="00C614FD"/>
    <w:rsid w:val="00C66D4A"/>
    <w:rsid w:val="00C67003"/>
    <w:rsid w:val="00C80091"/>
    <w:rsid w:val="00C84DF5"/>
    <w:rsid w:val="00C97E16"/>
    <w:rsid w:val="00CB0CB2"/>
    <w:rsid w:val="00CB3E80"/>
    <w:rsid w:val="00CC32C2"/>
    <w:rsid w:val="00CC4B06"/>
    <w:rsid w:val="00CD1D20"/>
    <w:rsid w:val="00CE3F3D"/>
    <w:rsid w:val="00CF2DFB"/>
    <w:rsid w:val="00D10332"/>
    <w:rsid w:val="00D134CC"/>
    <w:rsid w:val="00D15427"/>
    <w:rsid w:val="00D17199"/>
    <w:rsid w:val="00D27D05"/>
    <w:rsid w:val="00D31014"/>
    <w:rsid w:val="00D45315"/>
    <w:rsid w:val="00D45939"/>
    <w:rsid w:val="00D47415"/>
    <w:rsid w:val="00D71414"/>
    <w:rsid w:val="00D8497D"/>
    <w:rsid w:val="00DA0880"/>
    <w:rsid w:val="00DA3F02"/>
    <w:rsid w:val="00DA551E"/>
    <w:rsid w:val="00DA6DC5"/>
    <w:rsid w:val="00DB53F4"/>
    <w:rsid w:val="00DC1E82"/>
    <w:rsid w:val="00DC6E16"/>
    <w:rsid w:val="00DC7503"/>
    <w:rsid w:val="00DE23A4"/>
    <w:rsid w:val="00DF5321"/>
    <w:rsid w:val="00E02B09"/>
    <w:rsid w:val="00E02FDE"/>
    <w:rsid w:val="00E1519F"/>
    <w:rsid w:val="00E22C8B"/>
    <w:rsid w:val="00E23438"/>
    <w:rsid w:val="00E26360"/>
    <w:rsid w:val="00E30C02"/>
    <w:rsid w:val="00E35329"/>
    <w:rsid w:val="00E43576"/>
    <w:rsid w:val="00E468C4"/>
    <w:rsid w:val="00E70C26"/>
    <w:rsid w:val="00EA6E31"/>
    <w:rsid w:val="00EB5819"/>
    <w:rsid w:val="00EC0C6D"/>
    <w:rsid w:val="00EC163B"/>
    <w:rsid w:val="00EC2B73"/>
    <w:rsid w:val="00EE5546"/>
    <w:rsid w:val="00EE5C21"/>
    <w:rsid w:val="00EF01CE"/>
    <w:rsid w:val="00EF597E"/>
    <w:rsid w:val="00F05FA9"/>
    <w:rsid w:val="00F12F38"/>
    <w:rsid w:val="00F168FF"/>
    <w:rsid w:val="00F31BDA"/>
    <w:rsid w:val="00F37EF1"/>
    <w:rsid w:val="00F447C6"/>
    <w:rsid w:val="00F46E98"/>
    <w:rsid w:val="00F5018D"/>
    <w:rsid w:val="00F51C29"/>
    <w:rsid w:val="00F625BB"/>
    <w:rsid w:val="00F62EF9"/>
    <w:rsid w:val="00F63492"/>
    <w:rsid w:val="00F7138B"/>
    <w:rsid w:val="00F757CB"/>
    <w:rsid w:val="00F92335"/>
    <w:rsid w:val="00F92EC7"/>
    <w:rsid w:val="00F96C3C"/>
    <w:rsid w:val="00F97D52"/>
    <w:rsid w:val="00FC0C89"/>
    <w:rsid w:val="00FC33BA"/>
    <w:rsid w:val="00FD528A"/>
    <w:rsid w:val="00FD701D"/>
    <w:rsid w:val="00FE2C3E"/>
    <w:rsid w:val="00FE4C52"/>
    <w:rsid w:val="00FF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D168"/>
  <w15:docId w15:val="{9B96DD31-CC5E-44CB-8CB0-75F45A4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18CD"/>
    <w:pPr>
      <w:spacing w:after="200"/>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F7138B"/>
    <w:pPr>
      <w:keepNext/>
      <w:keepLines/>
      <w:spacing w:before="240" w:after="0"/>
      <w:outlineLvl w:val="0"/>
    </w:pPr>
    <w:rPr>
      <w:rFonts w:eastAsia="Times New Roman"/>
      <w:b/>
      <w:szCs w:val="32"/>
    </w:rPr>
  </w:style>
  <w:style w:type="paragraph" w:styleId="Heading2">
    <w:name w:val="heading 2"/>
    <w:basedOn w:val="Normal"/>
    <w:next w:val="Normal"/>
    <w:link w:val="Heading2Char"/>
    <w:uiPriority w:val="9"/>
    <w:unhideWhenUsed/>
    <w:qFormat/>
    <w:rsid w:val="00F7138B"/>
    <w:pPr>
      <w:keepNext/>
      <w:keepLines/>
      <w:spacing w:before="40" w:after="0"/>
      <w:outlineLvl w:val="1"/>
    </w:pPr>
    <w:rPr>
      <w:rFonts w:eastAsia="Times New Roman"/>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3F6"/>
    <w:pPr>
      <w:jc w:val="both"/>
    </w:pPr>
    <w:rPr>
      <w:rFonts w:ascii="Times New Roman" w:hAnsi="Times New Roman"/>
      <w:sz w:val="24"/>
      <w:szCs w:val="22"/>
      <w:lang w:val="en-US" w:eastAsia="en-US"/>
    </w:rPr>
  </w:style>
  <w:style w:type="character" w:customStyle="1" w:styleId="Heading1Char">
    <w:name w:val="Heading 1 Char"/>
    <w:link w:val="Heading1"/>
    <w:uiPriority w:val="9"/>
    <w:rsid w:val="00F7138B"/>
    <w:rPr>
      <w:rFonts w:ascii="Times New Roman" w:eastAsia="Times New Roman" w:hAnsi="Times New Roman" w:cs="Times New Roman"/>
      <w:b/>
      <w:sz w:val="24"/>
      <w:szCs w:val="32"/>
      <w:lang w:val="en-GB"/>
    </w:rPr>
  </w:style>
  <w:style w:type="character" w:customStyle="1" w:styleId="Heading2Char">
    <w:name w:val="Heading 2 Char"/>
    <w:link w:val="Heading2"/>
    <w:uiPriority w:val="9"/>
    <w:rsid w:val="00F7138B"/>
    <w:rPr>
      <w:rFonts w:ascii="Times New Roman" w:eastAsia="Times New Roman" w:hAnsi="Times New Roman" w:cs="Times New Roman"/>
      <w:i/>
      <w:sz w:val="24"/>
      <w:szCs w:val="26"/>
      <w:lang w:val="en-GB"/>
    </w:rPr>
  </w:style>
  <w:style w:type="paragraph" w:styleId="Header">
    <w:name w:val="header"/>
    <w:basedOn w:val="Normal"/>
    <w:link w:val="HeaderChar"/>
    <w:uiPriority w:val="99"/>
    <w:unhideWhenUsed/>
    <w:rsid w:val="00F7138B"/>
    <w:pPr>
      <w:tabs>
        <w:tab w:val="center" w:pos="4680"/>
        <w:tab w:val="right" w:pos="9360"/>
      </w:tabs>
      <w:spacing w:after="0"/>
    </w:pPr>
    <w:rPr>
      <w:rFonts w:ascii="Calibri" w:hAnsi="Calibri"/>
      <w:sz w:val="20"/>
      <w:szCs w:val="20"/>
    </w:rPr>
  </w:style>
  <w:style w:type="character" w:customStyle="1" w:styleId="HeaderChar">
    <w:name w:val="Header Char"/>
    <w:link w:val="Header"/>
    <w:uiPriority w:val="99"/>
    <w:rsid w:val="00F7138B"/>
    <w:rPr>
      <w:lang w:val="en-GB"/>
    </w:rPr>
  </w:style>
  <w:style w:type="paragraph" w:styleId="Footer">
    <w:name w:val="footer"/>
    <w:basedOn w:val="Normal"/>
    <w:link w:val="FooterChar"/>
    <w:uiPriority w:val="99"/>
    <w:unhideWhenUsed/>
    <w:rsid w:val="00F7138B"/>
    <w:pPr>
      <w:tabs>
        <w:tab w:val="center" w:pos="4680"/>
        <w:tab w:val="right" w:pos="9360"/>
      </w:tabs>
      <w:spacing w:after="0"/>
    </w:pPr>
    <w:rPr>
      <w:rFonts w:ascii="Calibri" w:hAnsi="Calibri"/>
      <w:sz w:val="20"/>
      <w:szCs w:val="20"/>
    </w:rPr>
  </w:style>
  <w:style w:type="character" w:customStyle="1" w:styleId="FooterChar">
    <w:name w:val="Footer Char"/>
    <w:link w:val="Footer"/>
    <w:uiPriority w:val="99"/>
    <w:rsid w:val="00F7138B"/>
    <w:rPr>
      <w:lang w:val="en-GB"/>
    </w:rPr>
  </w:style>
  <w:style w:type="paragraph" w:styleId="Caption">
    <w:name w:val="caption"/>
    <w:basedOn w:val="Normal"/>
    <w:next w:val="Normal"/>
    <w:uiPriority w:val="35"/>
    <w:unhideWhenUsed/>
    <w:qFormat/>
    <w:rsid w:val="006D0496"/>
    <w:rPr>
      <w:i/>
      <w:iCs/>
      <w:color w:val="44546A"/>
      <w:sz w:val="18"/>
      <w:szCs w:val="18"/>
    </w:rPr>
  </w:style>
  <w:style w:type="table" w:styleId="TableGrid">
    <w:name w:val="Table Grid"/>
    <w:basedOn w:val="TableNormal"/>
    <w:uiPriority w:val="39"/>
    <w:rsid w:val="00D7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2B73"/>
    <w:rPr>
      <w:color w:val="0563C1"/>
      <w:u w:val="single"/>
    </w:rPr>
  </w:style>
  <w:style w:type="paragraph" w:styleId="BalloonText">
    <w:name w:val="Balloon Text"/>
    <w:basedOn w:val="Normal"/>
    <w:link w:val="BalloonTextChar"/>
    <w:uiPriority w:val="99"/>
    <w:semiHidden/>
    <w:unhideWhenUsed/>
    <w:rsid w:val="00DA3F02"/>
    <w:pPr>
      <w:spacing w:after="0"/>
    </w:pPr>
    <w:rPr>
      <w:rFonts w:ascii="Segoe UI" w:hAnsi="Segoe UI"/>
      <w:sz w:val="18"/>
      <w:szCs w:val="18"/>
    </w:rPr>
  </w:style>
  <w:style w:type="character" w:customStyle="1" w:styleId="BalloonTextChar">
    <w:name w:val="Balloon Text Char"/>
    <w:link w:val="BalloonText"/>
    <w:uiPriority w:val="99"/>
    <w:semiHidden/>
    <w:rsid w:val="00DA3F02"/>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C518B0"/>
    <w:pPr>
      <w:spacing w:after="0"/>
    </w:pPr>
    <w:rPr>
      <w:sz w:val="20"/>
      <w:szCs w:val="20"/>
    </w:rPr>
  </w:style>
  <w:style w:type="character" w:customStyle="1" w:styleId="FootnoteTextChar">
    <w:name w:val="Footnote Text Char"/>
    <w:link w:val="FootnoteText"/>
    <w:uiPriority w:val="99"/>
    <w:semiHidden/>
    <w:rsid w:val="00C518B0"/>
    <w:rPr>
      <w:rFonts w:ascii="Times New Roman" w:hAnsi="Times New Roman"/>
      <w:sz w:val="20"/>
      <w:szCs w:val="20"/>
      <w:lang w:val="en-GB"/>
    </w:rPr>
  </w:style>
  <w:style w:type="character" w:styleId="FootnoteReference">
    <w:name w:val="footnote reference"/>
    <w:uiPriority w:val="99"/>
    <w:semiHidden/>
    <w:unhideWhenUsed/>
    <w:rsid w:val="00C518B0"/>
    <w:rPr>
      <w:vertAlign w:val="superscript"/>
    </w:rPr>
  </w:style>
  <w:style w:type="character" w:styleId="CommentReference">
    <w:name w:val="annotation reference"/>
    <w:basedOn w:val="DefaultParagraphFont"/>
    <w:uiPriority w:val="99"/>
    <w:semiHidden/>
    <w:unhideWhenUsed/>
    <w:rsid w:val="00F5018D"/>
    <w:rPr>
      <w:sz w:val="16"/>
      <w:szCs w:val="16"/>
    </w:rPr>
  </w:style>
  <w:style w:type="paragraph" w:styleId="CommentText">
    <w:name w:val="annotation text"/>
    <w:basedOn w:val="Normal"/>
    <w:link w:val="CommentTextChar"/>
    <w:uiPriority w:val="99"/>
    <w:semiHidden/>
    <w:unhideWhenUsed/>
    <w:rsid w:val="00F5018D"/>
    <w:rPr>
      <w:sz w:val="20"/>
      <w:szCs w:val="20"/>
    </w:rPr>
  </w:style>
  <w:style w:type="character" w:customStyle="1" w:styleId="CommentTextChar">
    <w:name w:val="Comment Text Char"/>
    <w:basedOn w:val="DefaultParagraphFont"/>
    <w:link w:val="CommentText"/>
    <w:uiPriority w:val="99"/>
    <w:semiHidden/>
    <w:rsid w:val="00F5018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5018D"/>
    <w:rPr>
      <w:b/>
      <w:bCs/>
    </w:rPr>
  </w:style>
  <w:style w:type="character" w:customStyle="1" w:styleId="CommentSubjectChar">
    <w:name w:val="Comment Subject Char"/>
    <w:basedOn w:val="CommentTextChar"/>
    <w:link w:val="CommentSubject"/>
    <w:uiPriority w:val="99"/>
    <w:semiHidden/>
    <w:rsid w:val="00F5018D"/>
    <w:rPr>
      <w:rFonts w:ascii="Times New Roman" w:hAnsi="Times New Roman"/>
      <w:b/>
      <w:bCs/>
      <w:lang w:eastAsia="en-US"/>
    </w:rPr>
  </w:style>
  <w:style w:type="paragraph" w:styleId="EndnoteText">
    <w:name w:val="endnote text"/>
    <w:basedOn w:val="Normal"/>
    <w:link w:val="EndnoteTextChar"/>
    <w:uiPriority w:val="99"/>
    <w:semiHidden/>
    <w:unhideWhenUsed/>
    <w:rsid w:val="00A80198"/>
    <w:pPr>
      <w:spacing w:after="0"/>
    </w:pPr>
    <w:rPr>
      <w:sz w:val="20"/>
      <w:szCs w:val="20"/>
    </w:rPr>
  </w:style>
  <w:style w:type="character" w:customStyle="1" w:styleId="EndnoteTextChar">
    <w:name w:val="Endnote Text Char"/>
    <w:basedOn w:val="DefaultParagraphFont"/>
    <w:link w:val="EndnoteText"/>
    <w:uiPriority w:val="99"/>
    <w:semiHidden/>
    <w:rsid w:val="00A80198"/>
    <w:rPr>
      <w:rFonts w:ascii="Times New Roman" w:hAnsi="Times New Roman"/>
      <w:lang w:eastAsia="en-US"/>
    </w:rPr>
  </w:style>
  <w:style w:type="character" w:styleId="EndnoteReference">
    <w:name w:val="endnote reference"/>
    <w:basedOn w:val="DefaultParagraphFont"/>
    <w:uiPriority w:val="99"/>
    <w:semiHidden/>
    <w:unhideWhenUsed/>
    <w:rsid w:val="00A80198"/>
    <w:rPr>
      <w:vertAlign w:val="superscript"/>
    </w:rPr>
  </w:style>
  <w:style w:type="paragraph" w:customStyle="1" w:styleId="Default">
    <w:name w:val="Default"/>
    <w:rsid w:val="00F51C29"/>
    <w:pPr>
      <w:autoSpaceDE w:val="0"/>
      <w:autoSpaceDN w:val="0"/>
      <w:adjustRightInd w:val="0"/>
    </w:pPr>
    <w:rPr>
      <w:rFonts w:cs="Calibri"/>
      <w:color w:val="000000"/>
      <w:sz w:val="24"/>
      <w:szCs w:val="24"/>
      <w:lang w:val="en-US"/>
    </w:rPr>
  </w:style>
  <w:style w:type="character" w:customStyle="1" w:styleId="A1">
    <w:name w:val="A1"/>
    <w:uiPriority w:val="99"/>
    <w:rsid w:val="00F51C29"/>
    <w:rPr>
      <w:rFonts w:cs="Calibri"/>
      <w:color w:val="000000"/>
      <w:sz w:val="20"/>
      <w:szCs w:val="20"/>
    </w:rPr>
  </w:style>
  <w:style w:type="character" w:customStyle="1" w:styleId="A2">
    <w:name w:val="A2"/>
    <w:uiPriority w:val="99"/>
    <w:rsid w:val="003247E7"/>
    <w:rPr>
      <w:rFonts w:cs="Calibri"/>
      <w:color w:val="000000"/>
      <w:sz w:val="16"/>
      <w:szCs w:val="16"/>
    </w:rPr>
  </w:style>
  <w:style w:type="paragraph" w:customStyle="1" w:styleId="Pa3">
    <w:name w:val="Pa3"/>
    <w:basedOn w:val="Default"/>
    <w:next w:val="Default"/>
    <w:uiPriority w:val="99"/>
    <w:rsid w:val="00D17199"/>
    <w:pPr>
      <w:spacing w:line="221" w:lineRule="atLeast"/>
    </w:pPr>
    <w:rPr>
      <w:rFonts w:ascii="Trebuchet MS" w:hAnsi="Trebuchet MS" w:cs="Times New Roman"/>
      <w:color w:val="auto"/>
    </w:rPr>
  </w:style>
  <w:style w:type="paragraph" w:customStyle="1" w:styleId="Pa1">
    <w:name w:val="Pa1"/>
    <w:basedOn w:val="Default"/>
    <w:next w:val="Default"/>
    <w:uiPriority w:val="99"/>
    <w:rsid w:val="00D17199"/>
    <w:pPr>
      <w:spacing w:line="241" w:lineRule="atLeast"/>
    </w:pPr>
    <w:rPr>
      <w:rFonts w:ascii="Trebuchet MS" w:hAnsi="Trebuchet MS" w:cs="Times New Roman"/>
      <w:color w:val="auto"/>
    </w:rPr>
  </w:style>
  <w:style w:type="character" w:customStyle="1" w:styleId="A0">
    <w:name w:val="A0"/>
    <w:uiPriority w:val="99"/>
    <w:rsid w:val="00D17199"/>
    <w:rPr>
      <w:rFonts w:cs="Trebuchet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2426">
      <w:bodyDiv w:val="1"/>
      <w:marLeft w:val="0"/>
      <w:marRight w:val="0"/>
      <w:marTop w:val="0"/>
      <w:marBottom w:val="0"/>
      <w:divBdr>
        <w:top w:val="none" w:sz="0" w:space="0" w:color="auto"/>
        <w:left w:val="none" w:sz="0" w:space="0" w:color="auto"/>
        <w:bottom w:val="none" w:sz="0" w:space="0" w:color="auto"/>
        <w:right w:val="none" w:sz="0" w:space="0" w:color="auto"/>
      </w:divBdr>
    </w:div>
    <w:div w:id="133567024">
      <w:bodyDiv w:val="1"/>
      <w:marLeft w:val="0"/>
      <w:marRight w:val="0"/>
      <w:marTop w:val="0"/>
      <w:marBottom w:val="0"/>
      <w:divBdr>
        <w:top w:val="none" w:sz="0" w:space="0" w:color="auto"/>
        <w:left w:val="none" w:sz="0" w:space="0" w:color="auto"/>
        <w:bottom w:val="none" w:sz="0" w:space="0" w:color="auto"/>
        <w:right w:val="none" w:sz="0" w:space="0" w:color="auto"/>
      </w:divBdr>
    </w:div>
    <w:div w:id="193546524">
      <w:bodyDiv w:val="1"/>
      <w:marLeft w:val="0"/>
      <w:marRight w:val="0"/>
      <w:marTop w:val="0"/>
      <w:marBottom w:val="0"/>
      <w:divBdr>
        <w:top w:val="none" w:sz="0" w:space="0" w:color="auto"/>
        <w:left w:val="none" w:sz="0" w:space="0" w:color="auto"/>
        <w:bottom w:val="none" w:sz="0" w:space="0" w:color="auto"/>
        <w:right w:val="none" w:sz="0" w:space="0" w:color="auto"/>
      </w:divBdr>
    </w:div>
    <w:div w:id="420100664">
      <w:bodyDiv w:val="1"/>
      <w:marLeft w:val="0"/>
      <w:marRight w:val="0"/>
      <w:marTop w:val="0"/>
      <w:marBottom w:val="0"/>
      <w:divBdr>
        <w:top w:val="none" w:sz="0" w:space="0" w:color="auto"/>
        <w:left w:val="none" w:sz="0" w:space="0" w:color="auto"/>
        <w:bottom w:val="none" w:sz="0" w:space="0" w:color="auto"/>
        <w:right w:val="none" w:sz="0" w:space="0" w:color="auto"/>
      </w:divBdr>
    </w:div>
    <w:div w:id="463277295">
      <w:bodyDiv w:val="1"/>
      <w:marLeft w:val="0"/>
      <w:marRight w:val="0"/>
      <w:marTop w:val="0"/>
      <w:marBottom w:val="0"/>
      <w:divBdr>
        <w:top w:val="none" w:sz="0" w:space="0" w:color="auto"/>
        <w:left w:val="none" w:sz="0" w:space="0" w:color="auto"/>
        <w:bottom w:val="none" w:sz="0" w:space="0" w:color="auto"/>
        <w:right w:val="none" w:sz="0" w:space="0" w:color="auto"/>
      </w:divBdr>
      <w:divsChild>
        <w:div w:id="92559125">
          <w:marLeft w:val="547"/>
          <w:marRight w:val="0"/>
          <w:marTop w:val="200"/>
          <w:marBottom w:val="0"/>
          <w:divBdr>
            <w:top w:val="none" w:sz="0" w:space="0" w:color="auto"/>
            <w:left w:val="none" w:sz="0" w:space="0" w:color="auto"/>
            <w:bottom w:val="none" w:sz="0" w:space="0" w:color="auto"/>
            <w:right w:val="none" w:sz="0" w:space="0" w:color="auto"/>
          </w:divBdr>
        </w:div>
        <w:div w:id="195701937">
          <w:marLeft w:val="547"/>
          <w:marRight w:val="0"/>
          <w:marTop w:val="200"/>
          <w:marBottom w:val="0"/>
          <w:divBdr>
            <w:top w:val="none" w:sz="0" w:space="0" w:color="auto"/>
            <w:left w:val="none" w:sz="0" w:space="0" w:color="auto"/>
            <w:bottom w:val="none" w:sz="0" w:space="0" w:color="auto"/>
            <w:right w:val="none" w:sz="0" w:space="0" w:color="auto"/>
          </w:divBdr>
        </w:div>
        <w:div w:id="454569331">
          <w:marLeft w:val="547"/>
          <w:marRight w:val="0"/>
          <w:marTop w:val="200"/>
          <w:marBottom w:val="0"/>
          <w:divBdr>
            <w:top w:val="none" w:sz="0" w:space="0" w:color="auto"/>
            <w:left w:val="none" w:sz="0" w:space="0" w:color="auto"/>
            <w:bottom w:val="none" w:sz="0" w:space="0" w:color="auto"/>
            <w:right w:val="none" w:sz="0" w:space="0" w:color="auto"/>
          </w:divBdr>
        </w:div>
        <w:div w:id="718941344">
          <w:marLeft w:val="547"/>
          <w:marRight w:val="0"/>
          <w:marTop w:val="200"/>
          <w:marBottom w:val="0"/>
          <w:divBdr>
            <w:top w:val="none" w:sz="0" w:space="0" w:color="auto"/>
            <w:left w:val="none" w:sz="0" w:space="0" w:color="auto"/>
            <w:bottom w:val="none" w:sz="0" w:space="0" w:color="auto"/>
            <w:right w:val="none" w:sz="0" w:space="0" w:color="auto"/>
          </w:divBdr>
        </w:div>
        <w:div w:id="783577656">
          <w:marLeft w:val="547"/>
          <w:marRight w:val="0"/>
          <w:marTop w:val="200"/>
          <w:marBottom w:val="0"/>
          <w:divBdr>
            <w:top w:val="none" w:sz="0" w:space="0" w:color="auto"/>
            <w:left w:val="none" w:sz="0" w:space="0" w:color="auto"/>
            <w:bottom w:val="none" w:sz="0" w:space="0" w:color="auto"/>
            <w:right w:val="none" w:sz="0" w:space="0" w:color="auto"/>
          </w:divBdr>
        </w:div>
        <w:div w:id="1347562676">
          <w:marLeft w:val="547"/>
          <w:marRight w:val="0"/>
          <w:marTop w:val="200"/>
          <w:marBottom w:val="0"/>
          <w:divBdr>
            <w:top w:val="none" w:sz="0" w:space="0" w:color="auto"/>
            <w:left w:val="none" w:sz="0" w:space="0" w:color="auto"/>
            <w:bottom w:val="none" w:sz="0" w:space="0" w:color="auto"/>
            <w:right w:val="none" w:sz="0" w:space="0" w:color="auto"/>
          </w:divBdr>
        </w:div>
        <w:div w:id="1803424503">
          <w:marLeft w:val="547"/>
          <w:marRight w:val="0"/>
          <w:marTop w:val="200"/>
          <w:marBottom w:val="0"/>
          <w:divBdr>
            <w:top w:val="none" w:sz="0" w:space="0" w:color="auto"/>
            <w:left w:val="none" w:sz="0" w:space="0" w:color="auto"/>
            <w:bottom w:val="none" w:sz="0" w:space="0" w:color="auto"/>
            <w:right w:val="none" w:sz="0" w:space="0" w:color="auto"/>
          </w:divBdr>
        </w:div>
        <w:div w:id="1871723487">
          <w:marLeft w:val="547"/>
          <w:marRight w:val="0"/>
          <w:marTop w:val="200"/>
          <w:marBottom w:val="0"/>
          <w:divBdr>
            <w:top w:val="none" w:sz="0" w:space="0" w:color="auto"/>
            <w:left w:val="none" w:sz="0" w:space="0" w:color="auto"/>
            <w:bottom w:val="none" w:sz="0" w:space="0" w:color="auto"/>
            <w:right w:val="none" w:sz="0" w:space="0" w:color="auto"/>
          </w:divBdr>
        </w:div>
        <w:div w:id="1926105224">
          <w:marLeft w:val="547"/>
          <w:marRight w:val="0"/>
          <w:marTop w:val="200"/>
          <w:marBottom w:val="0"/>
          <w:divBdr>
            <w:top w:val="none" w:sz="0" w:space="0" w:color="auto"/>
            <w:left w:val="none" w:sz="0" w:space="0" w:color="auto"/>
            <w:bottom w:val="none" w:sz="0" w:space="0" w:color="auto"/>
            <w:right w:val="none" w:sz="0" w:space="0" w:color="auto"/>
          </w:divBdr>
        </w:div>
      </w:divsChild>
    </w:div>
    <w:div w:id="480732697">
      <w:bodyDiv w:val="1"/>
      <w:marLeft w:val="0"/>
      <w:marRight w:val="0"/>
      <w:marTop w:val="0"/>
      <w:marBottom w:val="0"/>
      <w:divBdr>
        <w:top w:val="none" w:sz="0" w:space="0" w:color="auto"/>
        <w:left w:val="none" w:sz="0" w:space="0" w:color="auto"/>
        <w:bottom w:val="none" w:sz="0" w:space="0" w:color="auto"/>
        <w:right w:val="none" w:sz="0" w:space="0" w:color="auto"/>
      </w:divBdr>
    </w:div>
    <w:div w:id="485585349">
      <w:bodyDiv w:val="1"/>
      <w:marLeft w:val="0"/>
      <w:marRight w:val="0"/>
      <w:marTop w:val="0"/>
      <w:marBottom w:val="0"/>
      <w:divBdr>
        <w:top w:val="none" w:sz="0" w:space="0" w:color="auto"/>
        <w:left w:val="none" w:sz="0" w:space="0" w:color="auto"/>
        <w:bottom w:val="none" w:sz="0" w:space="0" w:color="auto"/>
        <w:right w:val="none" w:sz="0" w:space="0" w:color="auto"/>
      </w:divBdr>
    </w:div>
    <w:div w:id="490100971">
      <w:bodyDiv w:val="1"/>
      <w:marLeft w:val="0"/>
      <w:marRight w:val="0"/>
      <w:marTop w:val="0"/>
      <w:marBottom w:val="0"/>
      <w:divBdr>
        <w:top w:val="none" w:sz="0" w:space="0" w:color="auto"/>
        <w:left w:val="none" w:sz="0" w:space="0" w:color="auto"/>
        <w:bottom w:val="none" w:sz="0" w:space="0" w:color="auto"/>
        <w:right w:val="none" w:sz="0" w:space="0" w:color="auto"/>
      </w:divBdr>
    </w:div>
    <w:div w:id="519466459">
      <w:bodyDiv w:val="1"/>
      <w:marLeft w:val="0"/>
      <w:marRight w:val="0"/>
      <w:marTop w:val="0"/>
      <w:marBottom w:val="0"/>
      <w:divBdr>
        <w:top w:val="none" w:sz="0" w:space="0" w:color="auto"/>
        <w:left w:val="none" w:sz="0" w:space="0" w:color="auto"/>
        <w:bottom w:val="none" w:sz="0" w:space="0" w:color="auto"/>
        <w:right w:val="none" w:sz="0" w:space="0" w:color="auto"/>
      </w:divBdr>
    </w:div>
    <w:div w:id="565652411">
      <w:bodyDiv w:val="1"/>
      <w:marLeft w:val="0"/>
      <w:marRight w:val="0"/>
      <w:marTop w:val="0"/>
      <w:marBottom w:val="0"/>
      <w:divBdr>
        <w:top w:val="none" w:sz="0" w:space="0" w:color="auto"/>
        <w:left w:val="none" w:sz="0" w:space="0" w:color="auto"/>
        <w:bottom w:val="none" w:sz="0" w:space="0" w:color="auto"/>
        <w:right w:val="none" w:sz="0" w:space="0" w:color="auto"/>
      </w:divBdr>
    </w:div>
    <w:div w:id="574970490">
      <w:bodyDiv w:val="1"/>
      <w:marLeft w:val="0"/>
      <w:marRight w:val="0"/>
      <w:marTop w:val="0"/>
      <w:marBottom w:val="0"/>
      <w:divBdr>
        <w:top w:val="none" w:sz="0" w:space="0" w:color="auto"/>
        <w:left w:val="none" w:sz="0" w:space="0" w:color="auto"/>
        <w:bottom w:val="none" w:sz="0" w:space="0" w:color="auto"/>
        <w:right w:val="none" w:sz="0" w:space="0" w:color="auto"/>
      </w:divBdr>
    </w:div>
    <w:div w:id="599530110">
      <w:bodyDiv w:val="1"/>
      <w:marLeft w:val="0"/>
      <w:marRight w:val="0"/>
      <w:marTop w:val="0"/>
      <w:marBottom w:val="0"/>
      <w:divBdr>
        <w:top w:val="none" w:sz="0" w:space="0" w:color="auto"/>
        <w:left w:val="none" w:sz="0" w:space="0" w:color="auto"/>
        <w:bottom w:val="none" w:sz="0" w:space="0" w:color="auto"/>
        <w:right w:val="none" w:sz="0" w:space="0" w:color="auto"/>
      </w:divBdr>
      <w:divsChild>
        <w:div w:id="40398970">
          <w:marLeft w:val="547"/>
          <w:marRight w:val="0"/>
          <w:marTop w:val="200"/>
          <w:marBottom w:val="0"/>
          <w:divBdr>
            <w:top w:val="none" w:sz="0" w:space="0" w:color="auto"/>
            <w:left w:val="none" w:sz="0" w:space="0" w:color="auto"/>
            <w:bottom w:val="none" w:sz="0" w:space="0" w:color="auto"/>
            <w:right w:val="none" w:sz="0" w:space="0" w:color="auto"/>
          </w:divBdr>
        </w:div>
        <w:div w:id="1100831767">
          <w:marLeft w:val="547"/>
          <w:marRight w:val="0"/>
          <w:marTop w:val="200"/>
          <w:marBottom w:val="0"/>
          <w:divBdr>
            <w:top w:val="none" w:sz="0" w:space="0" w:color="auto"/>
            <w:left w:val="none" w:sz="0" w:space="0" w:color="auto"/>
            <w:bottom w:val="none" w:sz="0" w:space="0" w:color="auto"/>
            <w:right w:val="none" w:sz="0" w:space="0" w:color="auto"/>
          </w:divBdr>
        </w:div>
        <w:div w:id="1423137185">
          <w:marLeft w:val="547"/>
          <w:marRight w:val="0"/>
          <w:marTop w:val="200"/>
          <w:marBottom w:val="0"/>
          <w:divBdr>
            <w:top w:val="none" w:sz="0" w:space="0" w:color="auto"/>
            <w:left w:val="none" w:sz="0" w:space="0" w:color="auto"/>
            <w:bottom w:val="none" w:sz="0" w:space="0" w:color="auto"/>
            <w:right w:val="none" w:sz="0" w:space="0" w:color="auto"/>
          </w:divBdr>
        </w:div>
        <w:div w:id="1844081666">
          <w:marLeft w:val="547"/>
          <w:marRight w:val="0"/>
          <w:marTop w:val="200"/>
          <w:marBottom w:val="0"/>
          <w:divBdr>
            <w:top w:val="none" w:sz="0" w:space="0" w:color="auto"/>
            <w:left w:val="none" w:sz="0" w:space="0" w:color="auto"/>
            <w:bottom w:val="none" w:sz="0" w:space="0" w:color="auto"/>
            <w:right w:val="none" w:sz="0" w:space="0" w:color="auto"/>
          </w:divBdr>
        </w:div>
      </w:divsChild>
    </w:div>
    <w:div w:id="737169995">
      <w:bodyDiv w:val="1"/>
      <w:marLeft w:val="0"/>
      <w:marRight w:val="0"/>
      <w:marTop w:val="0"/>
      <w:marBottom w:val="0"/>
      <w:divBdr>
        <w:top w:val="none" w:sz="0" w:space="0" w:color="auto"/>
        <w:left w:val="none" w:sz="0" w:space="0" w:color="auto"/>
        <w:bottom w:val="none" w:sz="0" w:space="0" w:color="auto"/>
        <w:right w:val="none" w:sz="0" w:space="0" w:color="auto"/>
      </w:divBdr>
    </w:div>
    <w:div w:id="814838022">
      <w:bodyDiv w:val="1"/>
      <w:marLeft w:val="0"/>
      <w:marRight w:val="0"/>
      <w:marTop w:val="0"/>
      <w:marBottom w:val="0"/>
      <w:divBdr>
        <w:top w:val="none" w:sz="0" w:space="0" w:color="auto"/>
        <w:left w:val="none" w:sz="0" w:space="0" w:color="auto"/>
        <w:bottom w:val="none" w:sz="0" w:space="0" w:color="auto"/>
        <w:right w:val="none" w:sz="0" w:space="0" w:color="auto"/>
      </w:divBdr>
      <w:divsChild>
        <w:div w:id="662860029">
          <w:marLeft w:val="547"/>
          <w:marRight w:val="0"/>
          <w:marTop w:val="200"/>
          <w:marBottom w:val="0"/>
          <w:divBdr>
            <w:top w:val="none" w:sz="0" w:space="0" w:color="auto"/>
            <w:left w:val="none" w:sz="0" w:space="0" w:color="auto"/>
            <w:bottom w:val="none" w:sz="0" w:space="0" w:color="auto"/>
            <w:right w:val="none" w:sz="0" w:space="0" w:color="auto"/>
          </w:divBdr>
        </w:div>
      </w:divsChild>
    </w:div>
    <w:div w:id="868178817">
      <w:bodyDiv w:val="1"/>
      <w:marLeft w:val="0"/>
      <w:marRight w:val="0"/>
      <w:marTop w:val="0"/>
      <w:marBottom w:val="0"/>
      <w:divBdr>
        <w:top w:val="none" w:sz="0" w:space="0" w:color="auto"/>
        <w:left w:val="none" w:sz="0" w:space="0" w:color="auto"/>
        <w:bottom w:val="none" w:sz="0" w:space="0" w:color="auto"/>
        <w:right w:val="none" w:sz="0" w:space="0" w:color="auto"/>
      </w:divBdr>
    </w:div>
    <w:div w:id="873082262">
      <w:bodyDiv w:val="1"/>
      <w:marLeft w:val="0"/>
      <w:marRight w:val="0"/>
      <w:marTop w:val="0"/>
      <w:marBottom w:val="0"/>
      <w:divBdr>
        <w:top w:val="none" w:sz="0" w:space="0" w:color="auto"/>
        <w:left w:val="none" w:sz="0" w:space="0" w:color="auto"/>
        <w:bottom w:val="none" w:sz="0" w:space="0" w:color="auto"/>
        <w:right w:val="none" w:sz="0" w:space="0" w:color="auto"/>
      </w:divBdr>
      <w:divsChild>
        <w:div w:id="52316370">
          <w:marLeft w:val="547"/>
          <w:marRight w:val="0"/>
          <w:marTop w:val="200"/>
          <w:marBottom w:val="0"/>
          <w:divBdr>
            <w:top w:val="none" w:sz="0" w:space="0" w:color="auto"/>
            <w:left w:val="none" w:sz="0" w:space="0" w:color="auto"/>
            <w:bottom w:val="none" w:sz="0" w:space="0" w:color="auto"/>
            <w:right w:val="none" w:sz="0" w:space="0" w:color="auto"/>
          </w:divBdr>
        </w:div>
        <w:div w:id="580992012">
          <w:marLeft w:val="547"/>
          <w:marRight w:val="0"/>
          <w:marTop w:val="200"/>
          <w:marBottom w:val="0"/>
          <w:divBdr>
            <w:top w:val="none" w:sz="0" w:space="0" w:color="auto"/>
            <w:left w:val="none" w:sz="0" w:space="0" w:color="auto"/>
            <w:bottom w:val="none" w:sz="0" w:space="0" w:color="auto"/>
            <w:right w:val="none" w:sz="0" w:space="0" w:color="auto"/>
          </w:divBdr>
        </w:div>
        <w:div w:id="701322885">
          <w:marLeft w:val="547"/>
          <w:marRight w:val="0"/>
          <w:marTop w:val="200"/>
          <w:marBottom w:val="0"/>
          <w:divBdr>
            <w:top w:val="none" w:sz="0" w:space="0" w:color="auto"/>
            <w:left w:val="none" w:sz="0" w:space="0" w:color="auto"/>
            <w:bottom w:val="none" w:sz="0" w:space="0" w:color="auto"/>
            <w:right w:val="none" w:sz="0" w:space="0" w:color="auto"/>
          </w:divBdr>
        </w:div>
        <w:div w:id="885065906">
          <w:marLeft w:val="547"/>
          <w:marRight w:val="0"/>
          <w:marTop w:val="200"/>
          <w:marBottom w:val="0"/>
          <w:divBdr>
            <w:top w:val="none" w:sz="0" w:space="0" w:color="auto"/>
            <w:left w:val="none" w:sz="0" w:space="0" w:color="auto"/>
            <w:bottom w:val="none" w:sz="0" w:space="0" w:color="auto"/>
            <w:right w:val="none" w:sz="0" w:space="0" w:color="auto"/>
          </w:divBdr>
        </w:div>
        <w:div w:id="1731920154">
          <w:marLeft w:val="547"/>
          <w:marRight w:val="0"/>
          <w:marTop w:val="200"/>
          <w:marBottom w:val="0"/>
          <w:divBdr>
            <w:top w:val="none" w:sz="0" w:space="0" w:color="auto"/>
            <w:left w:val="none" w:sz="0" w:space="0" w:color="auto"/>
            <w:bottom w:val="none" w:sz="0" w:space="0" w:color="auto"/>
            <w:right w:val="none" w:sz="0" w:space="0" w:color="auto"/>
          </w:divBdr>
        </w:div>
      </w:divsChild>
    </w:div>
    <w:div w:id="907181258">
      <w:bodyDiv w:val="1"/>
      <w:marLeft w:val="0"/>
      <w:marRight w:val="0"/>
      <w:marTop w:val="0"/>
      <w:marBottom w:val="0"/>
      <w:divBdr>
        <w:top w:val="none" w:sz="0" w:space="0" w:color="auto"/>
        <w:left w:val="none" w:sz="0" w:space="0" w:color="auto"/>
        <w:bottom w:val="none" w:sz="0" w:space="0" w:color="auto"/>
        <w:right w:val="none" w:sz="0" w:space="0" w:color="auto"/>
      </w:divBdr>
    </w:div>
    <w:div w:id="1028094933">
      <w:bodyDiv w:val="1"/>
      <w:marLeft w:val="0"/>
      <w:marRight w:val="0"/>
      <w:marTop w:val="0"/>
      <w:marBottom w:val="0"/>
      <w:divBdr>
        <w:top w:val="none" w:sz="0" w:space="0" w:color="auto"/>
        <w:left w:val="none" w:sz="0" w:space="0" w:color="auto"/>
        <w:bottom w:val="none" w:sz="0" w:space="0" w:color="auto"/>
        <w:right w:val="none" w:sz="0" w:space="0" w:color="auto"/>
      </w:divBdr>
      <w:divsChild>
        <w:div w:id="380059857">
          <w:marLeft w:val="547"/>
          <w:marRight w:val="0"/>
          <w:marTop w:val="200"/>
          <w:marBottom w:val="0"/>
          <w:divBdr>
            <w:top w:val="none" w:sz="0" w:space="0" w:color="auto"/>
            <w:left w:val="none" w:sz="0" w:space="0" w:color="auto"/>
            <w:bottom w:val="none" w:sz="0" w:space="0" w:color="auto"/>
            <w:right w:val="none" w:sz="0" w:space="0" w:color="auto"/>
          </w:divBdr>
        </w:div>
      </w:divsChild>
    </w:div>
    <w:div w:id="1087505765">
      <w:bodyDiv w:val="1"/>
      <w:marLeft w:val="0"/>
      <w:marRight w:val="0"/>
      <w:marTop w:val="0"/>
      <w:marBottom w:val="0"/>
      <w:divBdr>
        <w:top w:val="none" w:sz="0" w:space="0" w:color="auto"/>
        <w:left w:val="none" w:sz="0" w:space="0" w:color="auto"/>
        <w:bottom w:val="none" w:sz="0" w:space="0" w:color="auto"/>
        <w:right w:val="none" w:sz="0" w:space="0" w:color="auto"/>
      </w:divBdr>
    </w:div>
    <w:div w:id="1105418660">
      <w:bodyDiv w:val="1"/>
      <w:marLeft w:val="0"/>
      <w:marRight w:val="0"/>
      <w:marTop w:val="0"/>
      <w:marBottom w:val="0"/>
      <w:divBdr>
        <w:top w:val="none" w:sz="0" w:space="0" w:color="auto"/>
        <w:left w:val="none" w:sz="0" w:space="0" w:color="auto"/>
        <w:bottom w:val="none" w:sz="0" w:space="0" w:color="auto"/>
        <w:right w:val="none" w:sz="0" w:space="0" w:color="auto"/>
      </w:divBdr>
    </w:div>
    <w:div w:id="1117525054">
      <w:bodyDiv w:val="1"/>
      <w:marLeft w:val="0"/>
      <w:marRight w:val="0"/>
      <w:marTop w:val="0"/>
      <w:marBottom w:val="0"/>
      <w:divBdr>
        <w:top w:val="none" w:sz="0" w:space="0" w:color="auto"/>
        <w:left w:val="none" w:sz="0" w:space="0" w:color="auto"/>
        <w:bottom w:val="none" w:sz="0" w:space="0" w:color="auto"/>
        <w:right w:val="none" w:sz="0" w:space="0" w:color="auto"/>
      </w:divBdr>
    </w:div>
    <w:div w:id="1118448990">
      <w:bodyDiv w:val="1"/>
      <w:marLeft w:val="0"/>
      <w:marRight w:val="0"/>
      <w:marTop w:val="0"/>
      <w:marBottom w:val="0"/>
      <w:divBdr>
        <w:top w:val="none" w:sz="0" w:space="0" w:color="auto"/>
        <w:left w:val="none" w:sz="0" w:space="0" w:color="auto"/>
        <w:bottom w:val="none" w:sz="0" w:space="0" w:color="auto"/>
        <w:right w:val="none" w:sz="0" w:space="0" w:color="auto"/>
      </w:divBdr>
    </w:div>
    <w:div w:id="1153720150">
      <w:bodyDiv w:val="1"/>
      <w:marLeft w:val="0"/>
      <w:marRight w:val="0"/>
      <w:marTop w:val="0"/>
      <w:marBottom w:val="0"/>
      <w:divBdr>
        <w:top w:val="none" w:sz="0" w:space="0" w:color="auto"/>
        <w:left w:val="none" w:sz="0" w:space="0" w:color="auto"/>
        <w:bottom w:val="none" w:sz="0" w:space="0" w:color="auto"/>
        <w:right w:val="none" w:sz="0" w:space="0" w:color="auto"/>
      </w:divBdr>
    </w:div>
    <w:div w:id="1190678352">
      <w:bodyDiv w:val="1"/>
      <w:marLeft w:val="0"/>
      <w:marRight w:val="0"/>
      <w:marTop w:val="0"/>
      <w:marBottom w:val="0"/>
      <w:divBdr>
        <w:top w:val="none" w:sz="0" w:space="0" w:color="auto"/>
        <w:left w:val="none" w:sz="0" w:space="0" w:color="auto"/>
        <w:bottom w:val="none" w:sz="0" w:space="0" w:color="auto"/>
        <w:right w:val="none" w:sz="0" w:space="0" w:color="auto"/>
      </w:divBdr>
      <w:divsChild>
        <w:div w:id="752166446">
          <w:marLeft w:val="547"/>
          <w:marRight w:val="0"/>
          <w:marTop w:val="200"/>
          <w:marBottom w:val="0"/>
          <w:divBdr>
            <w:top w:val="none" w:sz="0" w:space="0" w:color="auto"/>
            <w:left w:val="none" w:sz="0" w:space="0" w:color="auto"/>
            <w:bottom w:val="none" w:sz="0" w:space="0" w:color="auto"/>
            <w:right w:val="none" w:sz="0" w:space="0" w:color="auto"/>
          </w:divBdr>
        </w:div>
        <w:div w:id="1209683171">
          <w:marLeft w:val="547"/>
          <w:marRight w:val="0"/>
          <w:marTop w:val="200"/>
          <w:marBottom w:val="0"/>
          <w:divBdr>
            <w:top w:val="none" w:sz="0" w:space="0" w:color="auto"/>
            <w:left w:val="none" w:sz="0" w:space="0" w:color="auto"/>
            <w:bottom w:val="none" w:sz="0" w:space="0" w:color="auto"/>
            <w:right w:val="none" w:sz="0" w:space="0" w:color="auto"/>
          </w:divBdr>
        </w:div>
      </w:divsChild>
    </w:div>
    <w:div w:id="1202549846">
      <w:bodyDiv w:val="1"/>
      <w:marLeft w:val="0"/>
      <w:marRight w:val="0"/>
      <w:marTop w:val="0"/>
      <w:marBottom w:val="0"/>
      <w:divBdr>
        <w:top w:val="none" w:sz="0" w:space="0" w:color="auto"/>
        <w:left w:val="none" w:sz="0" w:space="0" w:color="auto"/>
        <w:bottom w:val="none" w:sz="0" w:space="0" w:color="auto"/>
        <w:right w:val="none" w:sz="0" w:space="0" w:color="auto"/>
      </w:divBdr>
    </w:div>
    <w:div w:id="1237738373">
      <w:bodyDiv w:val="1"/>
      <w:marLeft w:val="0"/>
      <w:marRight w:val="0"/>
      <w:marTop w:val="0"/>
      <w:marBottom w:val="0"/>
      <w:divBdr>
        <w:top w:val="none" w:sz="0" w:space="0" w:color="auto"/>
        <w:left w:val="none" w:sz="0" w:space="0" w:color="auto"/>
        <w:bottom w:val="none" w:sz="0" w:space="0" w:color="auto"/>
        <w:right w:val="none" w:sz="0" w:space="0" w:color="auto"/>
      </w:divBdr>
      <w:divsChild>
        <w:div w:id="703284643">
          <w:marLeft w:val="547"/>
          <w:marRight w:val="0"/>
          <w:marTop w:val="200"/>
          <w:marBottom w:val="0"/>
          <w:divBdr>
            <w:top w:val="none" w:sz="0" w:space="0" w:color="auto"/>
            <w:left w:val="none" w:sz="0" w:space="0" w:color="auto"/>
            <w:bottom w:val="none" w:sz="0" w:space="0" w:color="auto"/>
            <w:right w:val="none" w:sz="0" w:space="0" w:color="auto"/>
          </w:divBdr>
        </w:div>
        <w:div w:id="922688392">
          <w:marLeft w:val="547"/>
          <w:marRight w:val="0"/>
          <w:marTop w:val="200"/>
          <w:marBottom w:val="0"/>
          <w:divBdr>
            <w:top w:val="none" w:sz="0" w:space="0" w:color="auto"/>
            <w:left w:val="none" w:sz="0" w:space="0" w:color="auto"/>
            <w:bottom w:val="none" w:sz="0" w:space="0" w:color="auto"/>
            <w:right w:val="none" w:sz="0" w:space="0" w:color="auto"/>
          </w:divBdr>
        </w:div>
        <w:div w:id="1637417132">
          <w:marLeft w:val="547"/>
          <w:marRight w:val="0"/>
          <w:marTop w:val="200"/>
          <w:marBottom w:val="0"/>
          <w:divBdr>
            <w:top w:val="none" w:sz="0" w:space="0" w:color="auto"/>
            <w:left w:val="none" w:sz="0" w:space="0" w:color="auto"/>
            <w:bottom w:val="none" w:sz="0" w:space="0" w:color="auto"/>
            <w:right w:val="none" w:sz="0" w:space="0" w:color="auto"/>
          </w:divBdr>
        </w:div>
        <w:div w:id="1806772604">
          <w:marLeft w:val="547"/>
          <w:marRight w:val="0"/>
          <w:marTop w:val="200"/>
          <w:marBottom w:val="0"/>
          <w:divBdr>
            <w:top w:val="none" w:sz="0" w:space="0" w:color="auto"/>
            <w:left w:val="none" w:sz="0" w:space="0" w:color="auto"/>
            <w:bottom w:val="none" w:sz="0" w:space="0" w:color="auto"/>
            <w:right w:val="none" w:sz="0" w:space="0" w:color="auto"/>
          </w:divBdr>
        </w:div>
      </w:divsChild>
    </w:div>
    <w:div w:id="1349940379">
      <w:bodyDiv w:val="1"/>
      <w:marLeft w:val="0"/>
      <w:marRight w:val="0"/>
      <w:marTop w:val="0"/>
      <w:marBottom w:val="0"/>
      <w:divBdr>
        <w:top w:val="none" w:sz="0" w:space="0" w:color="auto"/>
        <w:left w:val="none" w:sz="0" w:space="0" w:color="auto"/>
        <w:bottom w:val="none" w:sz="0" w:space="0" w:color="auto"/>
        <w:right w:val="none" w:sz="0" w:space="0" w:color="auto"/>
      </w:divBdr>
    </w:div>
    <w:div w:id="1452164849">
      <w:bodyDiv w:val="1"/>
      <w:marLeft w:val="0"/>
      <w:marRight w:val="0"/>
      <w:marTop w:val="0"/>
      <w:marBottom w:val="0"/>
      <w:divBdr>
        <w:top w:val="none" w:sz="0" w:space="0" w:color="auto"/>
        <w:left w:val="none" w:sz="0" w:space="0" w:color="auto"/>
        <w:bottom w:val="none" w:sz="0" w:space="0" w:color="auto"/>
        <w:right w:val="none" w:sz="0" w:space="0" w:color="auto"/>
      </w:divBdr>
      <w:divsChild>
        <w:div w:id="207227701">
          <w:marLeft w:val="547"/>
          <w:marRight w:val="0"/>
          <w:marTop w:val="200"/>
          <w:marBottom w:val="0"/>
          <w:divBdr>
            <w:top w:val="none" w:sz="0" w:space="0" w:color="auto"/>
            <w:left w:val="none" w:sz="0" w:space="0" w:color="auto"/>
            <w:bottom w:val="none" w:sz="0" w:space="0" w:color="auto"/>
            <w:right w:val="none" w:sz="0" w:space="0" w:color="auto"/>
          </w:divBdr>
        </w:div>
        <w:div w:id="1444181012">
          <w:marLeft w:val="547"/>
          <w:marRight w:val="0"/>
          <w:marTop w:val="200"/>
          <w:marBottom w:val="0"/>
          <w:divBdr>
            <w:top w:val="none" w:sz="0" w:space="0" w:color="auto"/>
            <w:left w:val="none" w:sz="0" w:space="0" w:color="auto"/>
            <w:bottom w:val="none" w:sz="0" w:space="0" w:color="auto"/>
            <w:right w:val="none" w:sz="0" w:space="0" w:color="auto"/>
          </w:divBdr>
        </w:div>
      </w:divsChild>
    </w:div>
    <w:div w:id="1492677986">
      <w:bodyDiv w:val="1"/>
      <w:marLeft w:val="0"/>
      <w:marRight w:val="0"/>
      <w:marTop w:val="0"/>
      <w:marBottom w:val="0"/>
      <w:divBdr>
        <w:top w:val="none" w:sz="0" w:space="0" w:color="auto"/>
        <w:left w:val="none" w:sz="0" w:space="0" w:color="auto"/>
        <w:bottom w:val="none" w:sz="0" w:space="0" w:color="auto"/>
        <w:right w:val="none" w:sz="0" w:space="0" w:color="auto"/>
      </w:divBdr>
      <w:divsChild>
        <w:div w:id="100145896">
          <w:marLeft w:val="547"/>
          <w:marRight w:val="0"/>
          <w:marTop w:val="200"/>
          <w:marBottom w:val="0"/>
          <w:divBdr>
            <w:top w:val="none" w:sz="0" w:space="0" w:color="auto"/>
            <w:left w:val="none" w:sz="0" w:space="0" w:color="auto"/>
            <w:bottom w:val="none" w:sz="0" w:space="0" w:color="auto"/>
            <w:right w:val="none" w:sz="0" w:space="0" w:color="auto"/>
          </w:divBdr>
        </w:div>
        <w:div w:id="324020075">
          <w:marLeft w:val="547"/>
          <w:marRight w:val="0"/>
          <w:marTop w:val="200"/>
          <w:marBottom w:val="0"/>
          <w:divBdr>
            <w:top w:val="none" w:sz="0" w:space="0" w:color="auto"/>
            <w:left w:val="none" w:sz="0" w:space="0" w:color="auto"/>
            <w:bottom w:val="none" w:sz="0" w:space="0" w:color="auto"/>
            <w:right w:val="none" w:sz="0" w:space="0" w:color="auto"/>
          </w:divBdr>
        </w:div>
        <w:div w:id="448476670">
          <w:marLeft w:val="547"/>
          <w:marRight w:val="0"/>
          <w:marTop w:val="200"/>
          <w:marBottom w:val="0"/>
          <w:divBdr>
            <w:top w:val="none" w:sz="0" w:space="0" w:color="auto"/>
            <w:left w:val="none" w:sz="0" w:space="0" w:color="auto"/>
            <w:bottom w:val="none" w:sz="0" w:space="0" w:color="auto"/>
            <w:right w:val="none" w:sz="0" w:space="0" w:color="auto"/>
          </w:divBdr>
        </w:div>
        <w:div w:id="1803814143">
          <w:marLeft w:val="547"/>
          <w:marRight w:val="0"/>
          <w:marTop w:val="200"/>
          <w:marBottom w:val="0"/>
          <w:divBdr>
            <w:top w:val="none" w:sz="0" w:space="0" w:color="auto"/>
            <w:left w:val="none" w:sz="0" w:space="0" w:color="auto"/>
            <w:bottom w:val="none" w:sz="0" w:space="0" w:color="auto"/>
            <w:right w:val="none" w:sz="0" w:space="0" w:color="auto"/>
          </w:divBdr>
        </w:div>
      </w:divsChild>
    </w:div>
    <w:div w:id="1530217552">
      <w:bodyDiv w:val="1"/>
      <w:marLeft w:val="0"/>
      <w:marRight w:val="0"/>
      <w:marTop w:val="0"/>
      <w:marBottom w:val="0"/>
      <w:divBdr>
        <w:top w:val="none" w:sz="0" w:space="0" w:color="auto"/>
        <w:left w:val="none" w:sz="0" w:space="0" w:color="auto"/>
        <w:bottom w:val="none" w:sz="0" w:space="0" w:color="auto"/>
        <w:right w:val="none" w:sz="0" w:space="0" w:color="auto"/>
      </w:divBdr>
    </w:div>
    <w:div w:id="1572035859">
      <w:bodyDiv w:val="1"/>
      <w:marLeft w:val="0"/>
      <w:marRight w:val="0"/>
      <w:marTop w:val="0"/>
      <w:marBottom w:val="0"/>
      <w:divBdr>
        <w:top w:val="none" w:sz="0" w:space="0" w:color="auto"/>
        <w:left w:val="none" w:sz="0" w:space="0" w:color="auto"/>
        <w:bottom w:val="none" w:sz="0" w:space="0" w:color="auto"/>
        <w:right w:val="none" w:sz="0" w:space="0" w:color="auto"/>
      </w:divBdr>
    </w:div>
    <w:div w:id="1578317655">
      <w:bodyDiv w:val="1"/>
      <w:marLeft w:val="0"/>
      <w:marRight w:val="0"/>
      <w:marTop w:val="0"/>
      <w:marBottom w:val="0"/>
      <w:divBdr>
        <w:top w:val="none" w:sz="0" w:space="0" w:color="auto"/>
        <w:left w:val="none" w:sz="0" w:space="0" w:color="auto"/>
        <w:bottom w:val="none" w:sz="0" w:space="0" w:color="auto"/>
        <w:right w:val="none" w:sz="0" w:space="0" w:color="auto"/>
      </w:divBdr>
    </w:div>
    <w:div w:id="1581478188">
      <w:bodyDiv w:val="1"/>
      <w:marLeft w:val="0"/>
      <w:marRight w:val="0"/>
      <w:marTop w:val="0"/>
      <w:marBottom w:val="0"/>
      <w:divBdr>
        <w:top w:val="none" w:sz="0" w:space="0" w:color="auto"/>
        <w:left w:val="none" w:sz="0" w:space="0" w:color="auto"/>
        <w:bottom w:val="none" w:sz="0" w:space="0" w:color="auto"/>
        <w:right w:val="none" w:sz="0" w:space="0" w:color="auto"/>
      </w:divBdr>
    </w:div>
    <w:div w:id="1688408571">
      <w:bodyDiv w:val="1"/>
      <w:marLeft w:val="0"/>
      <w:marRight w:val="0"/>
      <w:marTop w:val="0"/>
      <w:marBottom w:val="0"/>
      <w:divBdr>
        <w:top w:val="none" w:sz="0" w:space="0" w:color="auto"/>
        <w:left w:val="none" w:sz="0" w:space="0" w:color="auto"/>
        <w:bottom w:val="none" w:sz="0" w:space="0" w:color="auto"/>
        <w:right w:val="none" w:sz="0" w:space="0" w:color="auto"/>
      </w:divBdr>
    </w:div>
    <w:div w:id="1903559041">
      <w:bodyDiv w:val="1"/>
      <w:marLeft w:val="0"/>
      <w:marRight w:val="0"/>
      <w:marTop w:val="0"/>
      <w:marBottom w:val="0"/>
      <w:divBdr>
        <w:top w:val="none" w:sz="0" w:space="0" w:color="auto"/>
        <w:left w:val="none" w:sz="0" w:space="0" w:color="auto"/>
        <w:bottom w:val="none" w:sz="0" w:space="0" w:color="auto"/>
        <w:right w:val="none" w:sz="0" w:space="0" w:color="auto"/>
      </w:divBdr>
      <w:divsChild>
        <w:div w:id="53165920">
          <w:marLeft w:val="0"/>
          <w:marRight w:val="0"/>
          <w:marTop w:val="0"/>
          <w:marBottom w:val="0"/>
          <w:divBdr>
            <w:top w:val="none" w:sz="0" w:space="0" w:color="auto"/>
            <w:left w:val="none" w:sz="0" w:space="0" w:color="auto"/>
            <w:bottom w:val="none" w:sz="0" w:space="0" w:color="auto"/>
            <w:right w:val="none" w:sz="0" w:space="0" w:color="auto"/>
          </w:divBdr>
        </w:div>
        <w:div w:id="156969252">
          <w:marLeft w:val="0"/>
          <w:marRight w:val="0"/>
          <w:marTop w:val="0"/>
          <w:marBottom w:val="0"/>
          <w:divBdr>
            <w:top w:val="none" w:sz="0" w:space="0" w:color="auto"/>
            <w:left w:val="none" w:sz="0" w:space="0" w:color="auto"/>
            <w:bottom w:val="none" w:sz="0" w:space="0" w:color="auto"/>
            <w:right w:val="none" w:sz="0" w:space="0" w:color="auto"/>
          </w:divBdr>
        </w:div>
        <w:div w:id="1728533817">
          <w:marLeft w:val="0"/>
          <w:marRight w:val="0"/>
          <w:marTop w:val="0"/>
          <w:marBottom w:val="0"/>
          <w:divBdr>
            <w:top w:val="none" w:sz="0" w:space="0" w:color="auto"/>
            <w:left w:val="none" w:sz="0" w:space="0" w:color="auto"/>
            <w:bottom w:val="none" w:sz="0" w:space="0" w:color="auto"/>
            <w:right w:val="none" w:sz="0" w:space="0" w:color="auto"/>
          </w:divBdr>
        </w:div>
      </w:divsChild>
    </w:div>
    <w:div w:id="2039577050">
      <w:bodyDiv w:val="1"/>
      <w:marLeft w:val="0"/>
      <w:marRight w:val="0"/>
      <w:marTop w:val="0"/>
      <w:marBottom w:val="0"/>
      <w:divBdr>
        <w:top w:val="none" w:sz="0" w:space="0" w:color="auto"/>
        <w:left w:val="none" w:sz="0" w:space="0" w:color="auto"/>
        <w:bottom w:val="none" w:sz="0" w:space="0" w:color="auto"/>
        <w:right w:val="none" w:sz="0" w:space="0" w:color="auto"/>
      </w:divBdr>
    </w:div>
    <w:div w:id="2055736178">
      <w:bodyDiv w:val="1"/>
      <w:marLeft w:val="0"/>
      <w:marRight w:val="0"/>
      <w:marTop w:val="0"/>
      <w:marBottom w:val="0"/>
      <w:divBdr>
        <w:top w:val="none" w:sz="0" w:space="0" w:color="auto"/>
        <w:left w:val="none" w:sz="0" w:space="0" w:color="auto"/>
        <w:bottom w:val="none" w:sz="0" w:space="0" w:color="auto"/>
        <w:right w:val="none" w:sz="0" w:space="0" w:color="auto"/>
      </w:divBdr>
    </w:div>
    <w:div w:id="21149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stat.gov.mk/PublikaciiPoOblast_en.aspx?id=3&amp;rbrObl=14" TargetMode="External"/><Relationship Id="rId2" Type="http://schemas.openxmlformats.org/officeDocument/2006/relationships/numbering" Target="numbering.xml"/><Relationship Id="rId16" Type="http://schemas.openxmlformats.org/officeDocument/2006/relationships/hyperlink" Target="http://www.stat.gov.mk/PublikaciiPoOblast_en.aspx?id=3&amp;rbrObl=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vzal%20Rakipi\Google%20Drive\Desktop\Data_Bosna%20Paper%20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ulzime%20M\Desktop\Evzal%20PHD\Conference%20Paper%20Bosnia\Paper\Data_Bosna%20Paper%20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ulzime%20M\Desktop\Evzal%20PHD\Conference%20Paper%20Bosnia\Paper\Data_Bosna%20Paper.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Lulzime%20M\Desktop\Evzal%20PHD\Conference%20Paper%20Bosnia\Paper\Data_Bosna%20Paper%202.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'Activity Rates'!$A$4</c:f>
              <c:strCache>
                <c:ptCount val="1"/>
                <c:pt idx="0">
                  <c:v>Female</c:v>
                </c:pt>
              </c:strCache>
            </c:strRef>
          </c:tx>
          <c:spPr>
            <a:solidFill>
              <a:schemeClr val="bg1">
                <a:lumMod val="75000"/>
              </a:schemeClr>
            </a:solidFill>
            <a:ln w="25400">
              <a:noFill/>
            </a:ln>
          </c:spPr>
          <c:invertIfNegative val="0"/>
          <c:cat>
            <c:strRef>
              <c:f>'Activity Rates'!$B$3:$K$3</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'Activity Rates'!$B$4:$K$4</c:f>
              <c:numCache>
                <c:formatCode>#,##0.0</c:formatCode>
                <c:ptCount val="10"/>
                <c:pt idx="0">
                  <c:v>46.7</c:v>
                </c:pt>
                <c:pt idx="1">
                  <c:v>49.1</c:v>
                </c:pt>
                <c:pt idx="2">
                  <c:v>49.2</c:v>
                </c:pt>
                <c:pt idx="3">
                  <c:v>50.4</c:v>
                </c:pt>
                <c:pt idx="4">
                  <c:v>50.2</c:v>
                </c:pt>
                <c:pt idx="5">
                  <c:v>50</c:v>
                </c:pt>
                <c:pt idx="6">
                  <c:v>50.4</c:v>
                </c:pt>
                <c:pt idx="7">
                  <c:v>51.2</c:v>
                </c:pt>
                <c:pt idx="8">
                  <c:v>50.8</c:v>
                </c:pt>
                <c:pt idx="9">
                  <c:v>52.7</c:v>
                </c:pt>
              </c:numCache>
            </c:numRef>
          </c:val>
          <c:extLst>
            <c:ext xmlns:c16="http://schemas.microsoft.com/office/drawing/2014/chart" uri="{C3380CC4-5D6E-409C-BE32-E72D297353CC}">
              <c16:uniqueId val="{00000000-C51B-4022-B0D1-013C3B03B4D3}"/>
            </c:ext>
          </c:extLst>
        </c:ser>
        <c:ser>
          <c:idx val="1"/>
          <c:order val="1"/>
          <c:tx>
            <c:strRef>
              <c:f>'Activity Rates'!$A$5</c:f>
              <c:strCache>
                <c:ptCount val="1"/>
                <c:pt idx="0">
                  <c:v>Male</c:v>
                </c:pt>
              </c:strCache>
            </c:strRef>
          </c:tx>
          <c:spPr>
            <a:solidFill>
              <a:schemeClr val="bg2">
                <a:lumMod val="50000"/>
              </a:schemeClr>
            </a:solidFill>
            <a:ln w="25400">
              <a:noFill/>
            </a:ln>
          </c:spPr>
          <c:invertIfNegative val="0"/>
          <c:cat>
            <c:strRef>
              <c:f>'Activity Rates'!$B$3:$K$3</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'Activity Rates'!$B$5:$K$5</c:f>
              <c:numCache>
                <c:formatCode>#,##0.0</c:formatCode>
                <c:ptCount val="10"/>
                <c:pt idx="0">
                  <c:v>70.5</c:v>
                </c:pt>
                <c:pt idx="1">
                  <c:v>71.900000000000006</c:v>
                </c:pt>
                <c:pt idx="2">
                  <c:v>75</c:v>
                </c:pt>
                <c:pt idx="3">
                  <c:v>74.8</c:v>
                </c:pt>
                <c:pt idx="4">
                  <c:v>76.599999999999994</c:v>
                </c:pt>
                <c:pt idx="5">
                  <c:v>77.599999999999994</c:v>
                </c:pt>
                <c:pt idx="6">
                  <c:v>77.7</c:v>
                </c:pt>
                <c:pt idx="7">
                  <c:v>76.8</c:v>
                </c:pt>
                <c:pt idx="8">
                  <c:v>76.599999999999994</c:v>
                </c:pt>
                <c:pt idx="9">
                  <c:v>76.8</c:v>
                </c:pt>
              </c:numCache>
            </c:numRef>
          </c:val>
          <c:extLst>
            <c:ext xmlns:c16="http://schemas.microsoft.com/office/drawing/2014/chart" uri="{C3380CC4-5D6E-409C-BE32-E72D297353CC}">
              <c16:uniqueId val="{00000001-C51B-4022-B0D1-013C3B03B4D3}"/>
            </c:ext>
          </c:extLst>
        </c:ser>
        <c:dLbls>
          <c:showLegendKey val="0"/>
          <c:showVal val="0"/>
          <c:showCatName val="0"/>
          <c:showSerName val="0"/>
          <c:showPercent val="0"/>
          <c:showBubbleSize val="0"/>
        </c:dLbls>
        <c:gapWidth val="219"/>
        <c:axId val="297006712"/>
        <c:axId val="297011024"/>
      </c:barChart>
      <c:lineChart>
        <c:grouping val="standard"/>
        <c:varyColors val="0"/>
        <c:ser>
          <c:idx val="2"/>
          <c:order val="2"/>
          <c:tx>
            <c:strRef>
              <c:f>'Activity Rates'!$A$6</c:f>
              <c:strCache>
                <c:ptCount val="1"/>
                <c:pt idx="0">
                  <c:v>Less than primary, primary and lower secondary education (levels 0-2)</c:v>
                </c:pt>
              </c:strCache>
            </c:strRef>
          </c:tx>
          <c:spPr>
            <a:ln>
              <a:solidFill>
                <a:schemeClr val="tx1"/>
              </a:solidFill>
              <a:prstDash val="sysDot"/>
            </a:ln>
          </c:spPr>
          <c:marker>
            <c:symbol val="none"/>
          </c:marker>
          <c:cat>
            <c:strRef>
              <c:f>'Activity Rates'!$B$3:$K$3</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'Activity Rates'!$B$6:$K$6</c:f>
              <c:numCache>
                <c:formatCode>General</c:formatCode>
                <c:ptCount val="10"/>
                <c:pt idx="2" formatCode="#,##0.0">
                  <c:v>27.8</c:v>
                </c:pt>
                <c:pt idx="3" formatCode="#,##0.0">
                  <c:v>28</c:v>
                </c:pt>
                <c:pt idx="4" formatCode="#,##0.0">
                  <c:v>29.2</c:v>
                </c:pt>
                <c:pt idx="5" formatCode="#,##0.0">
                  <c:v>27.4</c:v>
                </c:pt>
                <c:pt idx="6" formatCode="#,##0.0">
                  <c:v>27</c:v>
                </c:pt>
                <c:pt idx="7" formatCode="#,##0.0">
                  <c:v>26.6</c:v>
                </c:pt>
                <c:pt idx="8" formatCode="#,##0.0">
                  <c:v>24.8</c:v>
                </c:pt>
                <c:pt idx="9" formatCode="#,##0.0">
                  <c:v>26.8</c:v>
                </c:pt>
              </c:numCache>
            </c:numRef>
          </c:val>
          <c:smooth val="0"/>
          <c:extLst>
            <c:ext xmlns:c16="http://schemas.microsoft.com/office/drawing/2014/chart" uri="{C3380CC4-5D6E-409C-BE32-E72D297353CC}">
              <c16:uniqueId val="{00000002-C51B-4022-B0D1-013C3B03B4D3}"/>
            </c:ext>
          </c:extLst>
        </c:ser>
        <c:ser>
          <c:idx val="3"/>
          <c:order val="3"/>
          <c:tx>
            <c:strRef>
              <c:f>'Activity Rates'!$A$7</c:f>
              <c:strCache>
                <c:ptCount val="1"/>
                <c:pt idx="0">
                  <c:v>Upper secondary and post-secondary non-tertiary education (levels 3 and 4)</c:v>
                </c:pt>
              </c:strCache>
            </c:strRef>
          </c:tx>
          <c:spPr>
            <a:ln>
              <a:solidFill>
                <a:schemeClr val="tx1">
                  <a:lumMod val="95000"/>
                  <a:lumOff val="5000"/>
                </a:schemeClr>
              </a:solidFill>
              <a:prstDash val="dash"/>
            </a:ln>
          </c:spPr>
          <c:marker>
            <c:symbol val="none"/>
          </c:marker>
          <c:cat>
            <c:strRef>
              <c:f>'Activity Rates'!$B$3:$K$3</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'Activity Rates'!$B$7:$K$7</c:f>
              <c:numCache>
                <c:formatCode>General</c:formatCode>
                <c:ptCount val="10"/>
                <c:pt idx="2" formatCode="#,##0.0">
                  <c:v>65.900000000000006</c:v>
                </c:pt>
                <c:pt idx="3" formatCode="#,##0.0">
                  <c:v>65.400000000000006</c:v>
                </c:pt>
                <c:pt idx="4" formatCode="#,##0.0">
                  <c:v>65.099999999999994</c:v>
                </c:pt>
                <c:pt idx="5" formatCode="#,##0.0">
                  <c:v>63.5</c:v>
                </c:pt>
                <c:pt idx="6" formatCode="#,##0.0">
                  <c:v>63.7</c:v>
                </c:pt>
                <c:pt idx="7" formatCode="#,##0.0">
                  <c:v>63.1</c:v>
                </c:pt>
                <c:pt idx="8" formatCode="#,##0.0">
                  <c:v>63.3</c:v>
                </c:pt>
                <c:pt idx="9" formatCode="#,##0.0">
                  <c:v>64.5</c:v>
                </c:pt>
              </c:numCache>
            </c:numRef>
          </c:val>
          <c:smooth val="0"/>
          <c:extLst>
            <c:ext xmlns:c16="http://schemas.microsoft.com/office/drawing/2014/chart" uri="{C3380CC4-5D6E-409C-BE32-E72D297353CC}">
              <c16:uniqueId val="{00000003-C51B-4022-B0D1-013C3B03B4D3}"/>
            </c:ext>
          </c:extLst>
        </c:ser>
        <c:ser>
          <c:idx val="4"/>
          <c:order val="4"/>
          <c:tx>
            <c:strRef>
              <c:f>'Activity Rates'!$A$8</c:f>
              <c:strCache>
                <c:ptCount val="1"/>
                <c:pt idx="0">
                  <c:v>Tertiary education (levels 5-8)</c:v>
                </c:pt>
              </c:strCache>
            </c:strRef>
          </c:tx>
          <c:spPr>
            <a:ln>
              <a:solidFill>
                <a:schemeClr val="tx1">
                  <a:lumMod val="95000"/>
                  <a:lumOff val="5000"/>
                </a:schemeClr>
              </a:solidFill>
              <a:prstDash val="lgDashDotDot"/>
            </a:ln>
          </c:spPr>
          <c:marker>
            <c:symbol val="none"/>
          </c:marker>
          <c:cat>
            <c:strRef>
              <c:f>'Activity Rates'!$B$3:$K$3</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'Activity Rates'!$B$8:$K$8</c:f>
              <c:numCache>
                <c:formatCode>General</c:formatCode>
                <c:ptCount val="10"/>
                <c:pt idx="2" formatCode="#,##0.0">
                  <c:v>88.7</c:v>
                </c:pt>
                <c:pt idx="3" formatCode="#,##0.0">
                  <c:v>87.6</c:v>
                </c:pt>
                <c:pt idx="4" formatCode="#,##0.0">
                  <c:v>87.3</c:v>
                </c:pt>
                <c:pt idx="5" formatCode="#,##0.0">
                  <c:v>88.3</c:v>
                </c:pt>
                <c:pt idx="6" formatCode="#,##0.0">
                  <c:v>89.4</c:v>
                </c:pt>
                <c:pt idx="7" formatCode="#,##0.0">
                  <c:v>89.3</c:v>
                </c:pt>
                <c:pt idx="8" formatCode="#,##0.0">
                  <c:v>86.7</c:v>
                </c:pt>
                <c:pt idx="9" formatCode="#,##0.0">
                  <c:v>87.6</c:v>
                </c:pt>
              </c:numCache>
            </c:numRef>
          </c:val>
          <c:smooth val="0"/>
          <c:extLst>
            <c:ext xmlns:c16="http://schemas.microsoft.com/office/drawing/2014/chart" uri="{C3380CC4-5D6E-409C-BE32-E72D297353CC}">
              <c16:uniqueId val="{00000004-C51B-4022-B0D1-013C3B03B4D3}"/>
            </c:ext>
          </c:extLst>
        </c:ser>
        <c:dLbls>
          <c:showLegendKey val="0"/>
          <c:showVal val="0"/>
          <c:showCatName val="0"/>
          <c:showSerName val="0"/>
          <c:showPercent val="0"/>
          <c:showBubbleSize val="0"/>
        </c:dLbls>
        <c:marker val="1"/>
        <c:smooth val="0"/>
        <c:axId val="297006712"/>
        <c:axId val="297011024"/>
      </c:lineChart>
      <c:catAx>
        <c:axId val="29700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r-Latn-RS"/>
          </a:p>
        </c:txPr>
        <c:crossAx val="297011024"/>
        <c:crosses val="autoZero"/>
        <c:auto val="1"/>
        <c:lblAlgn val="ctr"/>
        <c:lblOffset val="100"/>
        <c:noMultiLvlLbl val="0"/>
      </c:catAx>
      <c:valAx>
        <c:axId val="297011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vert="horz"/>
          <a:lstStyle/>
          <a:p>
            <a:pPr>
              <a:defRPr sz="1000"/>
            </a:pPr>
            <a:endParaRPr lang="sr-Latn-RS"/>
          </a:p>
        </c:txPr>
        <c:crossAx val="297006712"/>
        <c:crosses val="autoZero"/>
        <c:crossBetween val="between"/>
      </c:valAx>
      <c:spPr>
        <a:noFill/>
        <a:ln w="25400">
          <a:noFill/>
        </a:ln>
      </c:spPr>
    </c:plotArea>
    <c:legend>
      <c:legendPos val="b"/>
      <c:layout>
        <c:manualLayout>
          <c:xMode val="edge"/>
          <c:yMode val="edge"/>
          <c:x val="2.2442186570071892E-2"/>
          <c:y val="0.66023467591019425"/>
          <c:w val="0.87372853270992024"/>
          <c:h val="0.24399498586319079"/>
        </c:manualLayout>
      </c:layout>
      <c:overlay val="0"/>
      <c:spPr>
        <a:noFill/>
        <a:ln w="25400">
          <a:noFill/>
        </a:ln>
      </c:spPr>
      <c:txPr>
        <a:bodyPr rot="0" vert="horz"/>
        <a:lstStyle/>
        <a:p>
          <a:pPr>
            <a:defRPr/>
          </a:pPr>
          <a:endParaRPr lang="sr-Latn-RS"/>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'Activity Rates'!$A$49</c:f>
              <c:strCache>
                <c:ptCount val="1"/>
                <c:pt idx="0">
                  <c:v>Bulgaria</c:v>
                </c:pt>
              </c:strCache>
            </c:strRef>
          </c:tx>
          <c:spPr>
            <a:ln w="19050" cap="rnd">
              <a:solidFill>
                <a:sysClr val="windowText" lastClr="000000">
                  <a:lumMod val="95000"/>
                  <a:lumOff val="5000"/>
                </a:sysClr>
              </a:solidFill>
              <a:prstDash val="lgDash"/>
              <a:round/>
            </a:ln>
            <a:effectLst/>
          </c:spPr>
          <c:marker>
            <c:symbol val="none"/>
          </c:marker>
          <c:cat>
            <c:strRef>
              <c:f>'Activity Rates'!$B$48:$K$48</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'Activity Rates'!$B$49:$K$49</c:f>
              <c:numCache>
                <c:formatCode>#,##0.0</c:formatCode>
                <c:ptCount val="10"/>
                <c:pt idx="0">
                  <c:v>58.4</c:v>
                </c:pt>
                <c:pt idx="1">
                  <c:v>57.3</c:v>
                </c:pt>
                <c:pt idx="2">
                  <c:v>60.2</c:v>
                </c:pt>
                <c:pt idx="3">
                  <c:v>62.1</c:v>
                </c:pt>
                <c:pt idx="4">
                  <c:v>63.1</c:v>
                </c:pt>
                <c:pt idx="5">
                  <c:v>62.5</c:v>
                </c:pt>
                <c:pt idx="6">
                  <c:v>62.3</c:v>
                </c:pt>
                <c:pt idx="7">
                  <c:v>61.9</c:v>
                </c:pt>
                <c:pt idx="8">
                  <c:v>63.2</c:v>
                </c:pt>
                <c:pt idx="9">
                  <c:v>64.5</c:v>
                </c:pt>
              </c:numCache>
            </c:numRef>
          </c:val>
          <c:smooth val="0"/>
          <c:extLst>
            <c:ext xmlns:c16="http://schemas.microsoft.com/office/drawing/2014/chart" uri="{C3380CC4-5D6E-409C-BE32-E72D297353CC}">
              <c16:uniqueId val="{00000000-A3BD-4466-BD21-99A88D018AE9}"/>
            </c:ext>
          </c:extLst>
        </c:ser>
        <c:ser>
          <c:idx val="1"/>
          <c:order val="1"/>
          <c:tx>
            <c:strRef>
              <c:f>'Activity Rates'!$A$50</c:f>
              <c:strCache>
                <c:ptCount val="1"/>
                <c:pt idx="0">
                  <c:v>Greece</c:v>
                </c:pt>
              </c:strCache>
            </c:strRef>
          </c:tx>
          <c:spPr>
            <a:ln w="19050" cap="rnd">
              <a:solidFill>
                <a:sysClr val="windowText" lastClr="000000"/>
              </a:solidFill>
              <a:prstDash val="dash"/>
              <a:round/>
            </a:ln>
            <a:effectLst/>
          </c:spPr>
          <c:marker>
            <c:symbol val="none"/>
          </c:marker>
          <c:cat>
            <c:strRef>
              <c:f>'Activity Rates'!$B$48:$K$48</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'Activity Rates'!$B$50:$K$50</c:f>
              <c:numCache>
                <c:formatCode>#,##0.0</c:formatCode>
                <c:ptCount val="10"/>
                <c:pt idx="0">
                  <c:v>54.2</c:v>
                </c:pt>
                <c:pt idx="1">
                  <c:v>54.5</c:v>
                </c:pt>
                <c:pt idx="2">
                  <c:v>55</c:v>
                </c:pt>
                <c:pt idx="3">
                  <c:v>54.8</c:v>
                </c:pt>
                <c:pt idx="4">
                  <c:v>55</c:v>
                </c:pt>
                <c:pt idx="5">
                  <c:v>56.5</c:v>
                </c:pt>
                <c:pt idx="6">
                  <c:v>57.5</c:v>
                </c:pt>
                <c:pt idx="7">
                  <c:v>57.5</c:v>
                </c:pt>
                <c:pt idx="8">
                  <c:v>58.3</c:v>
                </c:pt>
                <c:pt idx="9">
                  <c:v>58.3</c:v>
                </c:pt>
              </c:numCache>
            </c:numRef>
          </c:val>
          <c:smooth val="0"/>
          <c:extLst>
            <c:ext xmlns:c16="http://schemas.microsoft.com/office/drawing/2014/chart" uri="{C3380CC4-5D6E-409C-BE32-E72D297353CC}">
              <c16:uniqueId val="{00000001-A3BD-4466-BD21-99A88D018AE9}"/>
            </c:ext>
          </c:extLst>
        </c:ser>
        <c:ser>
          <c:idx val="2"/>
          <c:order val="2"/>
          <c:tx>
            <c:strRef>
              <c:f>'Activity Rates'!$A$51</c:f>
              <c:strCache>
                <c:ptCount val="1"/>
                <c:pt idx="0">
                  <c:v>Croatia</c:v>
                </c:pt>
              </c:strCache>
            </c:strRef>
          </c:tx>
          <c:spPr>
            <a:ln w="19050" cap="rnd">
              <a:solidFill>
                <a:sysClr val="windowText" lastClr="000000"/>
              </a:solidFill>
              <a:prstDash val="sysDot"/>
              <a:round/>
            </a:ln>
            <a:effectLst/>
          </c:spPr>
          <c:marker>
            <c:symbol val="none"/>
          </c:marker>
          <c:cat>
            <c:strRef>
              <c:f>'Activity Rates'!$B$48:$K$48</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'Activity Rates'!$B$51:$K$51</c:f>
              <c:numCache>
                <c:formatCode>#,##0.0</c:formatCode>
                <c:ptCount val="10"/>
                <c:pt idx="0">
                  <c:v>56.8</c:v>
                </c:pt>
                <c:pt idx="1">
                  <c:v>56.7</c:v>
                </c:pt>
                <c:pt idx="2">
                  <c:v>56.9</c:v>
                </c:pt>
                <c:pt idx="3">
                  <c:v>58.4</c:v>
                </c:pt>
                <c:pt idx="4">
                  <c:v>59</c:v>
                </c:pt>
                <c:pt idx="5">
                  <c:v>60.3</c:v>
                </c:pt>
                <c:pt idx="6">
                  <c:v>59.6</c:v>
                </c:pt>
                <c:pt idx="7">
                  <c:v>57.6</c:v>
                </c:pt>
                <c:pt idx="8">
                  <c:v>58</c:v>
                </c:pt>
                <c:pt idx="9">
                  <c:v>58.5</c:v>
                </c:pt>
              </c:numCache>
            </c:numRef>
          </c:val>
          <c:smooth val="0"/>
          <c:extLst>
            <c:ext xmlns:c16="http://schemas.microsoft.com/office/drawing/2014/chart" uri="{C3380CC4-5D6E-409C-BE32-E72D297353CC}">
              <c16:uniqueId val="{00000002-A3BD-4466-BD21-99A88D018AE9}"/>
            </c:ext>
          </c:extLst>
        </c:ser>
        <c:ser>
          <c:idx val="3"/>
          <c:order val="3"/>
          <c:tx>
            <c:strRef>
              <c:f>'Activity Rates'!$A$52</c:f>
              <c:strCache>
                <c:ptCount val="1"/>
                <c:pt idx="0">
                  <c:v>Slovenia</c:v>
                </c:pt>
              </c:strCache>
            </c:strRef>
          </c:tx>
          <c:spPr>
            <a:ln w="19050" cap="rnd">
              <a:solidFill>
                <a:sysClr val="windowText" lastClr="000000"/>
              </a:solidFill>
              <a:prstDash val="lgDashDotDot"/>
              <a:round/>
            </a:ln>
            <a:effectLst/>
          </c:spPr>
          <c:marker>
            <c:symbol val="none"/>
          </c:marker>
          <c:cat>
            <c:strRef>
              <c:f>'Activity Rates'!$B$48:$K$48</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'Activity Rates'!$B$52:$K$52</c:f>
              <c:numCache>
                <c:formatCode>#,##0.0</c:formatCode>
                <c:ptCount val="10"/>
                <c:pt idx="0">
                  <c:v>65.599999999999994</c:v>
                </c:pt>
                <c:pt idx="1">
                  <c:v>66.099999999999994</c:v>
                </c:pt>
                <c:pt idx="2">
                  <c:v>66.7</c:v>
                </c:pt>
                <c:pt idx="3">
                  <c:v>66.599999999999994</c:v>
                </c:pt>
                <c:pt idx="4">
                  <c:v>67.5</c:v>
                </c:pt>
                <c:pt idx="5">
                  <c:v>67.900000000000006</c:v>
                </c:pt>
                <c:pt idx="6">
                  <c:v>67.400000000000006</c:v>
                </c:pt>
                <c:pt idx="7">
                  <c:v>66.5</c:v>
                </c:pt>
                <c:pt idx="8">
                  <c:v>66.900000000000006</c:v>
                </c:pt>
                <c:pt idx="9">
                  <c:v>66.599999999999994</c:v>
                </c:pt>
              </c:numCache>
            </c:numRef>
          </c:val>
          <c:smooth val="0"/>
          <c:extLst>
            <c:ext xmlns:c16="http://schemas.microsoft.com/office/drawing/2014/chart" uri="{C3380CC4-5D6E-409C-BE32-E72D297353CC}">
              <c16:uniqueId val="{00000003-A3BD-4466-BD21-99A88D018AE9}"/>
            </c:ext>
          </c:extLst>
        </c:ser>
        <c:ser>
          <c:idx val="4"/>
          <c:order val="4"/>
          <c:tx>
            <c:strRef>
              <c:f>'Activity Rates'!$A$53</c:f>
              <c:strCache>
                <c:ptCount val="1"/>
                <c:pt idx="0">
                  <c:v>Macedonia</c:v>
                </c:pt>
              </c:strCache>
            </c:strRef>
          </c:tx>
          <c:spPr>
            <a:ln w="19050" cap="rnd">
              <a:solidFill>
                <a:sysClr val="windowText" lastClr="000000"/>
              </a:solidFill>
              <a:prstDash val="solid"/>
              <a:round/>
            </a:ln>
            <a:effectLst/>
          </c:spPr>
          <c:marker>
            <c:symbol val="none"/>
          </c:marker>
          <c:cat>
            <c:strRef>
              <c:f>'Activity Rates'!$B$48:$K$48</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'Activity Rates'!$B$53:$K$53</c:f>
              <c:numCache>
                <c:formatCode>#,##0.0</c:formatCode>
                <c:ptCount val="10"/>
                <c:pt idx="0">
                  <c:v>46.7</c:v>
                </c:pt>
                <c:pt idx="1">
                  <c:v>49.1</c:v>
                </c:pt>
                <c:pt idx="2">
                  <c:v>49.2</c:v>
                </c:pt>
                <c:pt idx="3">
                  <c:v>50.4</c:v>
                </c:pt>
                <c:pt idx="4">
                  <c:v>50.2</c:v>
                </c:pt>
                <c:pt idx="5">
                  <c:v>50</c:v>
                </c:pt>
                <c:pt idx="6">
                  <c:v>50.4</c:v>
                </c:pt>
                <c:pt idx="7">
                  <c:v>51.2</c:v>
                </c:pt>
                <c:pt idx="8">
                  <c:v>50.8</c:v>
                </c:pt>
                <c:pt idx="9">
                  <c:v>52.7</c:v>
                </c:pt>
              </c:numCache>
            </c:numRef>
          </c:val>
          <c:smooth val="0"/>
          <c:extLst>
            <c:ext xmlns:c16="http://schemas.microsoft.com/office/drawing/2014/chart" uri="{C3380CC4-5D6E-409C-BE32-E72D297353CC}">
              <c16:uniqueId val="{00000004-A3BD-4466-BD21-99A88D018AE9}"/>
            </c:ext>
          </c:extLst>
        </c:ser>
        <c:dLbls>
          <c:showLegendKey val="0"/>
          <c:showVal val="0"/>
          <c:showCatName val="0"/>
          <c:showSerName val="0"/>
          <c:showPercent val="0"/>
          <c:showBubbleSize val="0"/>
        </c:dLbls>
        <c:smooth val="0"/>
        <c:axId val="206353056"/>
        <c:axId val="206355800"/>
      </c:lineChart>
      <c:catAx>
        <c:axId val="20635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r-Latn-RS"/>
          </a:p>
        </c:txPr>
        <c:crossAx val="206355800"/>
        <c:crosses val="autoZero"/>
        <c:auto val="1"/>
        <c:lblAlgn val="ctr"/>
        <c:lblOffset val="100"/>
        <c:noMultiLvlLbl val="0"/>
      </c:catAx>
      <c:valAx>
        <c:axId val="206355800"/>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sr-Latn-RS"/>
          </a:p>
        </c:txPr>
        <c:crossAx val="206353056"/>
        <c:crosses val="autoZero"/>
        <c:crossBetween val="between"/>
      </c:valAx>
      <c:spPr>
        <a:noFill/>
        <a:ln>
          <a:noFill/>
        </a:ln>
        <a:effectLst/>
      </c:spPr>
    </c:plotArea>
    <c:legend>
      <c:legendPos val="b"/>
      <c:overlay val="0"/>
      <c:spPr>
        <a:noFill/>
        <a:ln>
          <a:noFill/>
        </a:ln>
        <a:effectLst/>
      </c:spPr>
      <c:txPr>
        <a:bodyPr rot="0" vert="horz"/>
        <a:lstStyle/>
        <a:p>
          <a:pPr>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Inactivity!$A$4</c:f>
              <c:strCache>
                <c:ptCount val="1"/>
                <c:pt idx="0">
                  <c:v>Female</c:v>
                </c:pt>
              </c:strCache>
            </c:strRef>
          </c:tx>
          <c:spPr>
            <a:ln w="19050" cap="rnd">
              <a:solidFill>
                <a:sysClr val="windowText" lastClr="000000"/>
              </a:solidFill>
              <a:round/>
            </a:ln>
            <a:effectLst/>
          </c:spPr>
          <c:marker>
            <c:symbol val="none"/>
          </c:marker>
          <c:cat>
            <c:strRef>
              <c:f>Inactivity!$B$3:$I$3</c:f>
              <c:strCache>
                <c:ptCount val="8"/>
                <c:pt idx="0">
                  <c:v>2006</c:v>
                </c:pt>
                <c:pt idx="1">
                  <c:v>2007</c:v>
                </c:pt>
                <c:pt idx="2">
                  <c:v>2008</c:v>
                </c:pt>
                <c:pt idx="3">
                  <c:v>2009</c:v>
                </c:pt>
                <c:pt idx="4">
                  <c:v>2010</c:v>
                </c:pt>
                <c:pt idx="5">
                  <c:v>2011</c:v>
                </c:pt>
                <c:pt idx="6">
                  <c:v>2012</c:v>
                </c:pt>
                <c:pt idx="7">
                  <c:v>2013</c:v>
                </c:pt>
              </c:strCache>
            </c:strRef>
          </c:cat>
          <c:val>
            <c:numRef>
              <c:f>Inactivity!$B$4:$I$4</c:f>
              <c:numCache>
                <c:formatCode>#,##0.0</c:formatCode>
                <c:ptCount val="8"/>
                <c:pt idx="0">
                  <c:v>50.8</c:v>
                </c:pt>
                <c:pt idx="1">
                  <c:v>49.6</c:v>
                </c:pt>
                <c:pt idx="2">
                  <c:v>49.8</c:v>
                </c:pt>
                <c:pt idx="3">
                  <c:v>50</c:v>
                </c:pt>
                <c:pt idx="4">
                  <c:v>49.6</c:v>
                </c:pt>
                <c:pt idx="5">
                  <c:v>48.8</c:v>
                </c:pt>
                <c:pt idx="6">
                  <c:v>49.2</c:v>
                </c:pt>
                <c:pt idx="7">
                  <c:v>47.3</c:v>
                </c:pt>
              </c:numCache>
            </c:numRef>
          </c:val>
          <c:smooth val="0"/>
          <c:extLst>
            <c:ext xmlns:c16="http://schemas.microsoft.com/office/drawing/2014/chart" uri="{C3380CC4-5D6E-409C-BE32-E72D297353CC}">
              <c16:uniqueId val="{00000000-6690-4ECC-B18C-13E46ABE6EEC}"/>
            </c:ext>
          </c:extLst>
        </c:ser>
        <c:ser>
          <c:idx val="1"/>
          <c:order val="1"/>
          <c:tx>
            <c:strRef>
              <c:f>Inactivity!$A$5</c:f>
              <c:strCache>
                <c:ptCount val="1"/>
                <c:pt idx="0">
                  <c:v>Male</c:v>
                </c:pt>
              </c:strCache>
            </c:strRef>
          </c:tx>
          <c:spPr>
            <a:ln w="19050" cap="rnd">
              <a:solidFill>
                <a:sysClr val="windowText" lastClr="000000"/>
              </a:solidFill>
              <a:prstDash val="dash"/>
              <a:round/>
            </a:ln>
            <a:effectLst/>
          </c:spPr>
          <c:marker>
            <c:symbol val="none"/>
          </c:marker>
          <c:cat>
            <c:strRef>
              <c:f>Inactivity!$B$3:$I$3</c:f>
              <c:strCache>
                <c:ptCount val="8"/>
                <c:pt idx="0">
                  <c:v>2006</c:v>
                </c:pt>
                <c:pt idx="1">
                  <c:v>2007</c:v>
                </c:pt>
                <c:pt idx="2">
                  <c:v>2008</c:v>
                </c:pt>
                <c:pt idx="3">
                  <c:v>2009</c:v>
                </c:pt>
                <c:pt idx="4">
                  <c:v>2010</c:v>
                </c:pt>
                <c:pt idx="5">
                  <c:v>2011</c:v>
                </c:pt>
                <c:pt idx="6">
                  <c:v>2012</c:v>
                </c:pt>
                <c:pt idx="7">
                  <c:v>2013</c:v>
                </c:pt>
              </c:strCache>
            </c:strRef>
          </c:cat>
          <c:val>
            <c:numRef>
              <c:f>Inactivity!$B$5:$I$5</c:f>
              <c:numCache>
                <c:formatCode>#,##0.0</c:formatCode>
                <c:ptCount val="8"/>
                <c:pt idx="0">
                  <c:v>25</c:v>
                </c:pt>
                <c:pt idx="1">
                  <c:v>25.2</c:v>
                </c:pt>
                <c:pt idx="2">
                  <c:v>23.4</c:v>
                </c:pt>
                <c:pt idx="3">
                  <c:v>22.4</c:v>
                </c:pt>
                <c:pt idx="4">
                  <c:v>22.3</c:v>
                </c:pt>
                <c:pt idx="5">
                  <c:v>23.2</c:v>
                </c:pt>
                <c:pt idx="6">
                  <c:v>23.4</c:v>
                </c:pt>
                <c:pt idx="7">
                  <c:v>23.2</c:v>
                </c:pt>
              </c:numCache>
            </c:numRef>
          </c:val>
          <c:smooth val="0"/>
          <c:extLst>
            <c:ext xmlns:c16="http://schemas.microsoft.com/office/drawing/2014/chart" uri="{C3380CC4-5D6E-409C-BE32-E72D297353CC}">
              <c16:uniqueId val="{00000001-6690-4ECC-B18C-13E46ABE6EEC}"/>
            </c:ext>
          </c:extLst>
        </c:ser>
        <c:dLbls>
          <c:showLegendKey val="0"/>
          <c:showVal val="0"/>
          <c:showCatName val="0"/>
          <c:showSerName val="0"/>
          <c:showPercent val="0"/>
          <c:showBubbleSize val="0"/>
        </c:dLbls>
        <c:smooth val="0"/>
        <c:axId val="206350312"/>
        <c:axId val="258252128"/>
      </c:lineChart>
      <c:catAx>
        <c:axId val="20635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r-Latn-RS"/>
          </a:p>
        </c:txPr>
        <c:crossAx val="258252128"/>
        <c:crosses val="autoZero"/>
        <c:auto val="1"/>
        <c:lblAlgn val="ctr"/>
        <c:lblOffset val="100"/>
        <c:noMultiLvlLbl val="0"/>
      </c:catAx>
      <c:valAx>
        <c:axId val="258252128"/>
        <c:scaling>
          <c:orientation val="minMax"/>
          <c:max val="55"/>
          <c:min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sr-Latn-RS"/>
          </a:p>
        </c:txPr>
        <c:crossAx val="206350312"/>
        <c:crosses val="autoZero"/>
        <c:crossBetween val="between"/>
        <c:majorUnit val="5"/>
      </c:valAx>
      <c:spPr>
        <a:noFill/>
        <a:ln>
          <a:noFill/>
        </a:ln>
        <a:effectLst/>
      </c:spPr>
    </c:plotArea>
    <c:legend>
      <c:legendPos val="b"/>
      <c:overlay val="0"/>
      <c:spPr>
        <a:noFill/>
        <a:ln>
          <a:noFill/>
        </a:ln>
        <a:effectLst/>
      </c:spPr>
      <c:txPr>
        <a:bodyPr rot="0" vert="horz"/>
        <a:lstStyle/>
        <a:p>
          <a:pPr>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'Empl by sex'!$A$9</c:f>
              <c:strCache>
                <c:ptCount val="1"/>
                <c:pt idx="0">
                  <c:v>Male</c:v>
                </c:pt>
              </c:strCache>
            </c:strRef>
          </c:tx>
          <c:spPr>
            <a:ln w="19050" cap="rnd">
              <a:solidFill>
                <a:sysClr val="windowText" lastClr="000000"/>
              </a:solidFill>
              <a:prstDash val="dash"/>
              <a:round/>
            </a:ln>
            <a:effectLst/>
          </c:spPr>
          <c:marker>
            <c:symbol val="none"/>
          </c:marker>
          <c:cat>
            <c:strRef>
              <c:f>'Empl by sex'!$B$8:$K$8</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'Empl by sex'!$B$9:$K$9</c:f>
              <c:numCache>
                <c:formatCode>#,##0.0</c:formatCode>
                <c:ptCount val="10"/>
                <c:pt idx="0">
                  <c:v>44.4</c:v>
                </c:pt>
                <c:pt idx="1">
                  <c:v>45.4</c:v>
                </c:pt>
                <c:pt idx="2">
                  <c:v>48.3</c:v>
                </c:pt>
                <c:pt idx="3">
                  <c:v>48.8</c:v>
                </c:pt>
                <c:pt idx="4">
                  <c:v>50.7</c:v>
                </c:pt>
                <c:pt idx="5">
                  <c:v>52.8</c:v>
                </c:pt>
                <c:pt idx="6">
                  <c:v>52.8</c:v>
                </c:pt>
                <c:pt idx="7">
                  <c:v>52.3</c:v>
                </c:pt>
                <c:pt idx="8">
                  <c:v>52.4</c:v>
                </c:pt>
                <c:pt idx="9">
                  <c:v>54.5</c:v>
                </c:pt>
              </c:numCache>
            </c:numRef>
          </c:val>
          <c:smooth val="0"/>
          <c:extLst>
            <c:ext xmlns:c16="http://schemas.microsoft.com/office/drawing/2014/chart" uri="{C3380CC4-5D6E-409C-BE32-E72D297353CC}">
              <c16:uniqueId val="{00000000-2EF7-4069-AF34-946E953E5880}"/>
            </c:ext>
          </c:extLst>
        </c:ser>
        <c:ser>
          <c:idx val="1"/>
          <c:order val="1"/>
          <c:tx>
            <c:strRef>
              <c:f>'Empl by sex'!$A$10</c:f>
              <c:strCache>
                <c:ptCount val="1"/>
                <c:pt idx="0">
                  <c:v>Female</c:v>
                </c:pt>
              </c:strCache>
            </c:strRef>
          </c:tx>
          <c:spPr>
            <a:ln w="19050" cap="rnd">
              <a:solidFill>
                <a:sysClr val="windowText" lastClr="000000"/>
              </a:solidFill>
              <a:prstDash val="solid"/>
              <a:round/>
            </a:ln>
            <a:effectLst/>
          </c:spPr>
          <c:marker>
            <c:symbol val="none"/>
          </c:marker>
          <c:cat>
            <c:strRef>
              <c:f>'Empl by sex'!$B$8:$K$8</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'Empl by sex'!$B$10:$K$10</c:f>
              <c:numCache>
                <c:formatCode>#,##0.0</c:formatCode>
                <c:ptCount val="10"/>
                <c:pt idx="0">
                  <c:v>28.9</c:v>
                </c:pt>
                <c:pt idx="1">
                  <c:v>30.1</c:v>
                </c:pt>
                <c:pt idx="2">
                  <c:v>30.7</c:v>
                </c:pt>
                <c:pt idx="3">
                  <c:v>32.299999999999997</c:v>
                </c:pt>
                <c:pt idx="4">
                  <c:v>32.9</c:v>
                </c:pt>
                <c:pt idx="5">
                  <c:v>33.5</c:v>
                </c:pt>
                <c:pt idx="6">
                  <c:v>34</c:v>
                </c:pt>
                <c:pt idx="7">
                  <c:v>35.299999999999997</c:v>
                </c:pt>
                <c:pt idx="8">
                  <c:v>35.299999999999997</c:v>
                </c:pt>
                <c:pt idx="9">
                  <c:v>37.299999999999997</c:v>
                </c:pt>
              </c:numCache>
            </c:numRef>
          </c:val>
          <c:smooth val="0"/>
          <c:extLst>
            <c:ext xmlns:c16="http://schemas.microsoft.com/office/drawing/2014/chart" uri="{C3380CC4-5D6E-409C-BE32-E72D297353CC}">
              <c16:uniqueId val="{00000001-2EF7-4069-AF34-946E953E5880}"/>
            </c:ext>
          </c:extLst>
        </c:ser>
        <c:dLbls>
          <c:showLegendKey val="0"/>
          <c:showVal val="0"/>
          <c:showCatName val="0"/>
          <c:showSerName val="0"/>
          <c:showPercent val="0"/>
          <c:showBubbleSize val="0"/>
        </c:dLbls>
        <c:smooth val="0"/>
        <c:axId val="258254480"/>
        <c:axId val="258254872"/>
      </c:lineChart>
      <c:catAx>
        <c:axId val="25825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r-Latn-RS"/>
          </a:p>
        </c:txPr>
        <c:crossAx val="258254872"/>
        <c:crosses val="autoZero"/>
        <c:auto val="1"/>
        <c:lblAlgn val="ctr"/>
        <c:lblOffset val="100"/>
        <c:noMultiLvlLbl val="0"/>
      </c:catAx>
      <c:valAx>
        <c:axId val="258254872"/>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sr-Latn-RS"/>
          </a:p>
        </c:txPr>
        <c:crossAx val="258254480"/>
        <c:crosses val="autoZero"/>
        <c:crossBetween val="between"/>
      </c:valAx>
      <c:spPr>
        <a:noFill/>
        <a:ln>
          <a:noFill/>
        </a:ln>
        <a:effectLst/>
      </c:spPr>
    </c:plotArea>
    <c:legend>
      <c:legendPos val="b"/>
      <c:overlay val="0"/>
      <c:spPr>
        <a:noFill/>
        <a:ln>
          <a:noFill/>
        </a:ln>
        <a:effectLst/>
      </c:spPr>
      <c:txPr>
        <a:bodyPr rot="0" vert="horz"/>
        <a:lstStyle/>
        <a:p>
          <a:pPr>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'Empl by education'!$A$4</c:f>
              <c:strCache>
                <c:ptCount val="1"/>
                <c:pt idx="0">
                  <c:v>Less than primary, primary and lower secondary education (levels 0-2)</c:v>
                </c:pt>
              </c:strCache>
            </c:strRef>
          </c:tx>
          <c:spPr>
            <a:ln w="28575" cap="rnd">
              <a:solidFill>
                <a:sysClr val="windowText" lastClr="000000"/>
              </a:solidFill>
              <a:prstDash val="solid"/>
              <a:round/>
            </a:ln>
            <a:effectLst/>
          </c:spPr>
          <c:marker>
            <c:symbol val="none"/>
          </c:marker>
          <c:cat>
            <c:strRef>
              <c:f>'Empl by education'!$B$3:$I$3</c:f>
              <c:strCache>
                <c:ptCount val="8"/>
                <c:pt idx="0">
                  <c:v>2006</c:v>
                </c:pt>
                <c:pt idx="1">
                  <c:v>2007</c:v>
                </c:pt>
                <c:pt idx="2">
                  <c:v>2008</c:v>
                </c:pt>
                <c:pt idx="3">
                  <c:v>2009</c:v>
                </c:pt>
                <c:pt idx="4">
                  <c:v>2010</c:v>
                </c:pt>
                <c:pt idx="5">
                  <c:v>2011</c:v>
                </c:pt>
                <c:pt idx="6">
                  <c:v>2012</c:v>
                </c:pt>
                <c:pt idx="7">
                  <c:v>2013</c:v>
                </c:pt>
              </c:strCache>
            </c:strRef>
          </c:cat>
          <c:val>
            <c:numRef>
              <c:f>'Empl by education'!$B$4:$I$4</c:f>
              <c:numCache>
                <c:formatCode>#,##0.0</c:formatCode>
                <c:ptCount val="8"/>
                <c:pt idx="0">
                  <c:v>15.2</c:v>
                </c:pt>
                <c:pt idx="1">
                  <c:v>15.6</c:v>
                </c:pt>
                <c:pt idx="2">
                  <c:v>16.899999999999999</c:v>
                </c:pt>
                <c:pt idx="3">
                  <c:v>16.2</c:v>
                </c:pt>
                <c:pt idx="4">
                  <c:v>16.8</c:v>
                </c:pt>
                <c:pt idx="5">
                  <c:v>17.399999999999999</c:v>
                </c:pt>
                <c:pt idx="6">
                  <c:v>16.600000000000001</c:v>
                </c:pt>
                <c:pt idx="7">
                  <c:v>18</c:v>
                </c:pt>
              </c:numCache>
            </c:numRef>
          </c:val>
          <c:smooth val="0"/>
          <c:extLst>
            <c:ext xmlns:c16="http://schemas.microsoft.com/office/drawing/2014/chart" uri="{C3380CC4-5D6E-409C-BE32-E72D297353CC}">
              <c16:uniqueId val="{00000000-3D81-4D48-B860-6ABDFB0AA047}"/>
            </c:ext>
          </c:extLst>
        </c:ser>
        <c:ser>
          <c:idx val="1"/>
          <c:order val="1"/>
          <c:tx>
            <c:strRef>
              <c:f>'Empl by education'!$A$5</c:f>
              <c:strCache>
                <c:ptCount val="1"/>
                <c:pt idx="0">
                  <c:v>Upper secondary and post-secondary non-tertiary education (levels 3 and 4)</c:v>
                </c:pt>
              </c:strCache>
            </c:strRef>
          </c:tx>
          <c:spPr>
            <a:ln w="28575" cap="rnd">
              <a:solidFill>
                <a:sysClr val="windowText" lastClr="000000"/>
              </a:solidFill>
              <a:prstDash val="sysDot"/>
              <a:round/>
            </a:ln>
            <a:effectLst/>
          </c:spPr>
          <c:marker>
            <c:symbol val="none"/>
          </c:marker>
          <c:cat>
            <c:strRef>
              <c:f>'Empl by education'!$B$3:$I$3</c:f>
              <c:strCache>
                <c:ptCount val="8"/>
                <c:pt idx="0">
                  <c:v>2006</c:v>
                </c:pt>
                <c:pt idx="1">
                  <c:v>2007</c:v>
                </c:pt>
                <c:pt idx="2">
                  <c:v>2008</c:v>
                </c:pt>
                <c:pt idx="3">
                  <c:v>2009</c:v>
                </c:pt>
                <c:pt idx="4">
                  <c:v>2010</c:v>
                </c:pt>
                <c:pt idx="5">
                  <c:v>2011</c:v>
                </c:pt>
                <c:pt idx="6">
                  <c:v>2012</c:v>
                </c:pt>
                <c:pt idx="7">
                  <c:v>2013</c:v>
                </c:pt>
              </c:strCache>
            </c:strRef>
          </c:cat>
          <c:val>
            <c:numRef>
              <c:f>'Empl by education'!$B$5:$I$5</c:f>
              <c:numCache>
                <c:formatCode>#,##0.0</c:formatCode>
                <c:ptCount val="8"/>
                <c:pt idx="0">
                  <c:v>40.6</c:v>
                </c:pt>
                <c:pt idx="1">
                  <c:v>41.7</c:v>
                </c:pt>
                <c:pt idx="2">
                  <c:v>42.9</c:v>
                </c:pt>
                <c:pt idx="3">
                  <c:v>42.8</c:v>
                </c:pt>
                <c:pt idx="4">
                  <c:v>42.4</c:v>
                </c:pt>
                <c:pt idx="5">
                  <c:v>43</c:v>
                </c:pt>
                <c:pt idx="6">
                  <c:v>43.1</c:v>
                </c:pt>
                <c:pt idx="7">
                  <c:v>45.8</c:v>
                </c:pt>
              </c:numCache>
            </c:numRef>
          </c:val>
          <c:smooth val="0"/>
          <c:extLst>
            <c:ext xmlns:c16="http://schemas.microsoft.com/office/drawing/2014/chart" uri="{C3380CC4-5D6E-409C-BE32-E72D297353CC}">
              <c16:uniqueId val="{00000001-3D81-4D48-B860-6ABDFB0AA047}"/>
            </c:ext>
          </c:extLst>
        </c:ser>
        <c:ser>
          <c:idx val="2"/>
          <c:order val="2"/>
          <c:tx>
            <c:strRef>
              <c:f>'Empl by education'!$A$6</c:f>
              <c:strCache>
                <c:ptCount val="1"/>
                <c:pt idx="0">
                  <c:v>Tertiary education (levels 5-8)</c:v>
                </c:pt>
              </c:strCache>
            </c:strRef>
          </c:tx>
          <c:spPr>
            <a:ln w="28575" cap="rnd">
              <a:solidFill>
                <a:sysClr val="windowText" lastClr="000000"/>
              </a:solidFill>
              <a:prstDash val="sysDash"/>
              <a:round/>
            </a:ln>
            <a:effectLst/>
          </c:spPr>
          <c:marker>
            <c:symbol val="none"/>
          </c:marker>
          <c:cat>
            <c:strRef>
              <c:f>'Empl by education'!$B$3:$I$3</c:f>
              <c:strCache>
                <c:ptCount val="8"/>
                <c:pt idx="0">
                  <c:v>2006</c:v>
                </c:pt>
                <c:pt idx="1">
                  <c:v>2007</c:v>
                </c:pt>
                <c:pt idx="2">
                  <c:v>2008</c:v>
                </c:pt>
                <c:pt idx="3">
                  <c:v>2009</c:v>
                </c:pt>
                <c:pt idx="4">
                  <c:v>2010</c:v>
                </c:pt>
                <c:pt idx="5">
                  <c:v>2011</c:v>
                </c:pt>
                <c:pt idx="6">
                  <c:v>2012</c:v>
                </c:pt>
                <c:pt idx="7">
                  <c:v>2013</c:v>
                </c:pt>
              </c:strCache>
            </c:strRef>
          </c:cat>
          <c:val>
            <c:numRef>
              <c:f>'Empl by education'!$B$6:$I$6</c:f>
              <c:numCache>
                <c:formatCode>#,##0.0</c:formatCode>
                <c:ptCount val="8"/>
                <c:pt idx="0">
                  <c:v>68.3</c:v>
                </c:pt>
                <c:pt idx="1">
                  <c:v>67.2</c:v>
                </c:pt>
                <c:pt idx="2">
                  <c:v>66.599999999999994</c:v>
                </c:pt>
                <c:pt idx="3">
                  <c:v>66.400000000000006</c:v>
                </c:pt>
                <c:pt idx="4">
                  <c:v>67.2</c:v>
                </c:pt>
                <c:pt idx="5">
                  <c:v>65.8</c:v>
                </c:pt>
                <c:pt idx="6">
                  <c:v>64.2</c:v>
                </c:pt>
                <c:pt idx="7">
                  <c:v>64.099999999999994</c:v>
                </c:pt>
              </c:numCache>
            </c:numRef>
          </c:val>
          <c:smooth val="0"/>
          <c:extLst>
            <c:ext xmlns:c16="http://schemas.microsoft.com/office/drawing/2014/chart" uri="{C3380CC4-5D6E-409C-BE32-E72D297353CC}">
              <c16:uniqueId val="{00000002-3D81-4D48-B860-6ABDFB0AA047}"/>
            </c:ext>
          </c:extLst>
        </c:ser>
        <c:dLbls>
          <c:showLegendKey val="0"/>
          <c:showVal val="0"/>
          <c:showCatName val="0"/>
          <c:showSerName val="0"/>
          <c:showPercent val="0"/>
          <c:showBubbleSize val="0"/>
        </c:dLbls>
        <c:smooth val="0"/>
        <c:axId val="446735904"/>
        <c:axId val="446736296"/>
      </c:lineChart>
      <c:catAx>
        <c:axId val="44673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r-Latn-RS"/>
          </a:p>
        </c:txPr>
        <c:crossAx val="446736296"/>
        <c:crosses val="autoZero"/>
        <c:auto val="1"/>
        <c:lblAlgn val="ctr"/>
        <c:lblOffset val="100"/>
        <c:noMultiLvlLbl val="0"/>
      </c:catAx>
      <c:valAx>
        <c:axId val="446736296"/>
        <c:scaling>
          <c:orientation val="minMax"/>
          <c:max val="70"/>
          <c:min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sr-Latn-RS"/>
          </a:p>
        </c:txPr>
        <c:crossAx val="446735904"/>
        <c:crosses val="autoZero"/>
        <c:crossBetween val="between"/>
        <c:majorUnit val="5"/>
      </c:valAx>
      <c:spPr>
        <a:noFill/>
        <a:ln>
          <a:noFill/>
        </a:ln>
        <a:effectLst/>
      </c:spPr>
    </c:plotArea>
    <c:legend>
      <c:legendPos val="b"/>
      <c:overlay val="0"/>
      <c:spPr>
        <a:noFill/>
        <a:ln>
          <a:noFill/>
        </a:ln>
        <a:effectLst/>
      </c:spPr>
      <c:txPr>
        <a:bodyPr rot="0" vert="horz"/>
        <a:lstStyle/>
        <a:p>
          <a:pPr>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sr-Latn-R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'Unempl by sex'!$A$7</c:f>
              <c:strCache>
                <c:ptCount val="1"/>
                <c:pt idx="0">
                  <c:v>Total</c:v>
                </c:pt>
              </c:strCache>
            </c:strRef>
          </c:tx>
          <c:spPr>
            <a:ln w="28575" cap="rnd">
              <a:solidFill>
                <a:sysClr val="windowText" lastClr="000000"/>
              </a:solidFill>
              <a:prstDash val="sysDot"/>
              <a:round/>
            </a:ln>
            <a:effectLst/>
          </c:spPr>
          <c:marker>
            <c:symbol val="none"/>
          </c:marker>
          <c:cat>
            <c:strRef>
              <c:f>'Unempl by sex'!$B$6:$K$6</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'Unempl by sex'!$B$7:$K$7</c:f>
              <c:numCache>
                <c:formatCode>#,##0.0</c:formatCode>
                <c:ptCount val="10"/>
                <c:pt idx="0">
                  <c:v>37.200000000000003</c:v>
                </c:pt>
                <c:pt idx="1">
                  <c:v>37.299999999999997</c:v>
                </c:pt>
                <c:pt idx="2">
                  <c:v>36.1</c:v>
                </c:pt>
                <c:pt idx="3">
                  <c:v>34.9</c:v>
                </c:pt>
                <c:pt idx="4">
                  <c:v>33.799999999999997</c:v>
                </c:pt>
                <c:pt idx="5">
                  <c:v>32.200000000000003</c:v>
                </c:pt>
                <c:pt idx="6">
                  <c:v>32</c:v>
                </c:pt>
                <c:pt idx="7">
                  <c:v>31.4</c:v>
                </c:pt>
                <c:pt idx="8">
                  <c:v>31</c:v>
                </c:pt>
                <c:pt idx="9">
                  <c:v>29</c:v>
                </c:pt>
              </c:numCache>
            </c:numRef>
          </c:val>
          <c:smooth val="0"/>
          <c:extLst>
            <c:ext xmlns:c16="http://schemas.microsoft.com/office/drawing/2014/chart" uri="{C3380CC4-5D6E-409C-BE32-E72D297353CC}">
              <c16:uniqueId val="{00000000-0666-4206-8A77-2CB33B3031B9}"/>
            </c:ext>
          </c:extLst>
        </c:ser>
        <c:ser>
          <c:idx val="1"/>
          <c:order val="1"/>
          <c:tx>
            <c:strRef>
              <c:f>'Unempl by sex'!$A$8</c:f>
              <c:strCache>
                <c:ptCount val="1"/>
                <c:pt idx="0">
                  <c:v>Female</c:v>
                </c:pt>
              </c:strCache>
            </c:strRef>
          </c:tx>
          <c:spPr>
            <a:ln w="28575" cap="rnd">
              <a:solidFill>
                <a:sysClr val="windowText" lastClr="000000"/>
              </a:solidFill>
              <a:round/>
            </a:ln>
            <a:effectLst/>
          </c:spPr>
          <c:marker>
            <c:symbol val="none"/>
          </c:marker>
          <c:cat>
            <c:strRef>
              <c:f>'Unempl by sex'!$B$6:$K$6</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'Unempl by sex'!$B$8:$K$8</c:f>
              <c:numCache>
                <c:formatCode>#,##0.0</c:formatCode>
                <c:ptCount val="10"/>
                <c:pt idx="0">
                  <c:v>37.799999999999997</c:v>
                </c:pt>
                <c:pt idx="1">
                  <c:v>38.4</c:v>
                </c:pt>
                <c:pt idx="2">
                  <c:v>37.200000000000003</c:v>
                </c:pt>
                <c:pt idx="3">
                  <c:v>35.5</c:v>
                </c:pt>
                <c:pt idx="4">
                  <c:v>34.200000000000003</c:v>
                </c:pt>
                <c:pt idx="5">
                  <c:v>32.799999999999997</c:v>
                </c:pt>
                <c:pt idx="6">
                  <c:v>32.200000000000003</c:v>
                </c:pt>
                <c:pt idx="7">
                  <c:v>30.8</c:v>
                </c:pt>
                <c:pt idx="8">
                  <c:v>30.3</c:v>
                </c:pt>
                <c:pt idx="9">
                  <c:v>29</c:v>
                </c:pt>
              </c:numCache>
            </c:numRef>
          </c:val>
          <c:smooth val="0"/>
          <c:extLst>
            <c:ext xmlns:c16="http://schemas.microsoft.com/office/drawing/2014/chart" uri="{C3380CC4-5D6E-409C-BE32-E72D297353CC}">
              <c16:uniqueId val="{00000001-0666-4206-8A77-2CB33B3031B9}"/>
            </c:ext>
          </c:extLst>
        </c:ser>
        <c:ser>
          <c:idx val="2"/>
          <c:order val="2"/>
          <c:tx>
            <c:strRef>
              <c:f>'Unempl by sex'!$A$9</c:f>
              <c:strCache>
                <c:ptCount val="1"/>
                <c:pt idx="0">
                  <c:v>Male</c:v>
                </c:pt>
              </c:strCache>
            </c:strRef>
          </c:tx>
          <c:spPr>
            <a:ln w="28575" cap="rnd">
              <a:solidFill>
                <a:sysClr val="windowText" lastClr="000000"/>
              </a:solidFill>
              <a:prstDash val="dash"/>
              <a:round/>
            </a:ln>
            <a:effectLst/>
          </c:spPr>
          <c:marker>
            <c:symbol val="none"/>
          </c:marker>
          <c:cat>
            <c:strRef>
              <c:f>'Unempl by sex'!$B$6:$K$6</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'Unempl by sex'!$B$9:$K$9</c:f>
              <c:numCache>
                <c:formatCode>#,##0.0</c:formatCode>
                <c:ptCount val="10"/>
                <c:pt idx="0">
                  <c:v>36.700000000000003</c:v>
                </c:pt>
                <c:pt idx="1">
                  <c:v>36.5</c:v>
                </c:pt>
                <c:pt idx="2">
                  <c:v>35.299999999999997</c:v>
                </c:pt>
                <c:pt idx="3">
                  <c:v>34.5</c:v>
                </c:pt>
                <c:pt idx="4">
                  <c:v>33.5</c:v>
                </c:pt>
                <c:pt idx="5">
                  <c:v>31.8</c:v>
                </c:pt>
                <c:pt idx="6">
                  <c:v>31.9</c:v>
                </c:pt>
                <c:pt idx="7">
                  <c:v>31.8</c:v>
                </c:pt>
                <c:pt idx="8">
                  <c:v>31.5</c:v>
                </c:pt>
                <c:pt idx="9">
                  <c:v>29</c:v>
                </c:pt>
              </c:numCache>
            </c:numRef>
          </c:val>
          <c:smooth val="0"/>
          <c:extLst>
            <c:ext xmlns:c16="http://schemas.microsoft.com/office/drawing/2014/chart" uri="{C3380CC4-5D6E-409C-BE32-E72D297353CC}">
              <c16:uniqueId val="{00000002-0666-4206-8A77-2CB33B3031B9}"/>
            </c:ext>
          </c:extLst>
        </c:ser>
        <c:dLbls>
          <c:showLegendKey val="0"/>
          <c:showVal val="0"/>
          <c:showCatName val="0"/>
          <c:showSerName val="0"/>
          <c:showPercent val="0"/>
          <c:showBubbleSize val="0"/>
        </c:dLbls>
        <c:smooth val="0"/>
        <c:axId val="256134776"/>
        <c:axId val="256123408"/>
      </c:lineChart>
      <c:catAx>
        <c:axId val="25613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crossAx val="256123408"/>
        <c:crosses val="autoZero"/>
        <c:auto val="1"/>
        <c:lblAlgn val="ctr"/>
        <c:lblOffset val="100"/>
        <c:noMultiLvlLbl val="0"/>
      </c:catAx>
      <c:valAx>
        <c:axId val="256123408"/>
        <c:scaling>
          <c:orientation val="minMax"/>
          <c:min val="2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crossAx val="256134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sr-Latn-R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'Unempl by age'!$A$4</c:f>
              <c:strCache>
                <c:ptCount val="1"/>
                <c:pt idx="0">
                  <c:v>15-24 Years</c:v>
                </c:pt>
              </c:strCache>
            </c:strRef>
          </c:tx>
          <c:spPr>
            <a:ln w="28575" cap="rnd">
              <a:solidFill>
                <a:sysClr val="windowText" lastClr="000000"/>
              </a:solidFill>
              <a:prstDash val="solid"/>
              <a:round/>
            </a:ln>
            <a:effectLst/>
          </c:spPr>
          <c:marker>
            <c:symbol val="none"/>
          </c:marker>
          <c:cat>
            <c:strRef>
              <c:f>'Unempl by age'!$B$3:$I$3</c:f>
              <c:strCache>
                <c:ptCount val="8"/>
                <c:pt idx="0">
                  <c:v>2006</c:v>
                </c:pt>
                <c:pt idx="1">
                  <c:v>2007</c:v>
                </c:pt>
                <c:pt idx="2">
                  <c:v>2008</c:v>
                </c:pt>
                <c:pt idx="3">
                  <c:v>2009</c:v>
                </c:pt>
                <c:pt idx="4">
                  <c:v>2010</c:v>
                </c:pt>
                <c:pt idx="5">
                  <c:v>2011</c:v>
                </c:pt>
                <c:pt idx="6">
                  <c:v>2012</c:v>
                </c:pt>
                <c:pt idx="7">
                  <c:v>2013</c:v>
                </c:pt>
              </c:strCache>
            </c:strRef>
          </c:cat>
          <c:val>
            <c:numRef>
              <c:f>'Unempl by age'!$B$4:$I$4</c:f>
              <c:numCache>
                <c:formatCode>#,##0.0</c:formatCode>
                <c:ptCount val="8"/>
                <c:pt idx="0">
                  <c:v>60.9</c:v>
                </c:pt>
                <c:pt idx="1">
                  <c:v>58.2</c:v>
                </c:pt>
                <c:pt idx="2">
                  <c:v>57.4</c:v>
                </c:pt>
                <c:pt idx="3">
                  <c:v>59.4</c:v>
                </c:pt>
                <c:pt idx="4">
                  <c:v>53.3</c:v>
                </c:pt>
                <c:pt idx="5">
                  <c:v>54.8</c:v>
                </c:pt>
                <c:pt idx="6">
                  <c:v>51.8</c:v>
                </c:pt>
                <c:pt idx="7">
                  <c:v>51</c:v>
                </c:pt>
              </c:numCache>
            </c:numRef>
          </c:val>
          <c:smooth val="0"/>
          <c:extLst>
            <c:ext xmlns:c16="http://schemas.microsoft.com/office/drawing/2014/chart" uri="{C3380CC4-5D6E-409C-BE32-E72D297353CC}">
              <c16:uniqueId val="{00000000-423B-4B38-966D-2B4EA6516DBD}"/>
            </c:ext>
          </c:extLst>
        </c:ser>
        <c:ser>
          <c:idx val="1"/>
          <c:order val="1"/>
          <c:tx>
            <c:strRef>
              <c:f>'Unempl by age'!$A$5</c:f>
              <c:strCache>
                <c:ptCount val="1"/>
                <c:pt idx="0">
                  <c:v>25-49 Years</c:v>
                </c:pt>
              </c:strCache>
            </c:strRef>
          </c:tx>
          <c:spPr>
            <a:ln w="28575" cap="rnd">
              <a:solidFill>
                <a:sysClr val="windowText" lastClr="000000"/>
              </a:solidFill>
              <a:prstDash val="sysDash"/>
              <a:round/>
            </a:ln>
            <a:effectLst/>
          </c:spPr>
          <c:marker>
            <c:symbol val="none"/>
          </c:marker>
          <c:cat>
            <c:strRef>
              <c:f>'Unempl by age'!$B$3:$I$3</c:f>
              <c:strCache>
                <c:ptCount val="8"/>
                <c:pt idx="0">
                  <c:v>2006</c:v>
                </c:pt>
                <c:pt idx="1">
                  <c:v>2007</c:v>
                </c:pt>
                <c:pt idx="2">
                  <c:v>2008</c:v>
                </c:pt>
                <c:pt idx="3">
                  <c:v>2009</c:v>
                </c:pt>
                <c:pt idx="4">
                  <c:v>2010</c:v>
                </c:pt>
                <c:pt idx="5">
                  <c:v>2011</c:v>
                </c:pt>
                <c:pt idx="6">
                  <c:v>2012</c:v>
                </c:pt>
                <c:pt idx="7">
                  <c:v>2013</c:v>
                </c:pt>
              </c:strCache>
            </c:strRef>
          </c:cat>
          <c:val>
            <c:numRef>
              <c:f>'Unempl by age'!$B$5:$I$5</c:f>
              <c:numCache>
                <c:formatCode>#,##0.0</c:formatCode>
                <c:ptCount val="8"/>
                <c:pt idx="0">
                  <c:v>35.9</c:v>
                </c:pt>
                <c:pt idx="1">
                  <c:v>34.700000000000003</c:v>
                </c:pt>
                <c:pt idx="2">
                  <c:v>32.6</c:v>
                </c:pt>
                <c:pt idx="3">
                  <c:v>31.1</c:v>
                </c:pt>
                <c:pt idx="4">
                  <c:v>31.5</c:v>
                </c:pt>
                <c:pt idx="5">
                  <c:v>29.5</c:v>
                </c:pt>
                <c:pt idx="6">
                  <c:v>29.8</c:v>
                </c:pt>
                <c:pt idx="7">
                  <c:v>27.9</c:v>
                </c:pt>
              </c:numCache>
            </c:numRef>
          </c:val>
          <c:smooth val="0"/>
          <c:extLst>
            <c:ext xmlns:c16="http://schemas.microsoft.com/office/drawing/2014/chart" uri="{C3380CC4-5D6E-409C-BE32-E72D297353CC}">
              <c16:uniqueId val="{00000001-423B-4B38-966D-2B4EA6516DBD}"/>
            </c:ext>
          </c:extLst>
        </c:ser>
        <c:ser>
          <c:idx val="2"/>
          <c:order val="2"/>
          <c:tx>
            <c:strRef>
              <c:f>'Unempl by age'!$A$6</c:f>
              <c:strCache>
                <c:ptCount val="1"/>
                <c:pt idx="0">
                  <c:v>50 - 64 years</c:v>
                </c:pt>
              </c:strCache>
            </c:strRef>
          </c:tx>
          <c:spPr>
            <a:ln w="28575" cap="rnd">
              <a:solidFill>
                <a:sysClr val="windowText" lastClr="000000"/>
              </a:solidFill>
              <a:prstDash val="sysDot"/>
              <a:round/>
            </a:ln>
            <a:effectLst/>
          </c:spPr>
          <c:marker>
            <c:symbol val="none"/>
          </c:marker>
          <c:cat>
            <c:strRef>
              <c:f>'Unempl by age'!$B$3:$I$3</c:f>
              <c:strCache>
                <c:ptCount val="8"/>
                <c:pt idx="0">
                  <c:v>2006</c:v>
                </c:pt>
                <c:pt idx="1">
                  <c:v>2007</c:v>
                </c:pt>
                <c:pt idx="2">
                  <c:v>2008</c:v>
                </c:pt>
                <c:pt idx="3">
                  <c:v>2009</c:v>
                </c:pt>
                <c:pt idx="4">
                  <c:v>2010</c:v>
                </c:pt>
                <c:pt idx="5">
                  <c:v>2011</c:v>
                </c:pt>
                <c:pt idx="6">
                  <c:v>2012</c:v>
                </c:pt>
                <c:pt idx="7">
                  <c:v>2013</c:v>
                </c:pt>
              </c:strCache>
            </c:strRef>
          </c:cat>
          <c:val>
            <c:numRef>
              <c:f>'Unempl by age'!$B$6:$I$6</c:f>
              <c:numCache>
                <c:formatCode>#,##0.0</c:formatCode>
                <c:ptCount val="8"/>
                <c:pt idx="0">
                  <c:v>25.1</c:v>
                </c:pt>
                <c:pt idx="1">
                  <c:v>25.3</c:v>
                </c:pt>
                <c:pt idx="2">
                  <c:v>25.7</c:v>
                </c:pt>
                <c:pt idx="3">
                  <c:v>24.1</c:v>
                </c:pt>
                <c:pt idx="4">
                  <c:v>25.1</c:v>
                </c:pt>
                <c:pt idx="5">
                  <c:v>24.6</c:v>
                </c:pt>
                <c:pt idx="6">
                  <c:v>22.4</c:v>
                </c:pt>
                <c:pt idx="7">
                  <c:v>23.1</c:v>
                </c:pt>
              </c:numCache>
            </c:numRef>
          </c:val>
          <c:smooth val="0"/>
          <c:extLst>
            <c:ext xmlns:c16="http://schemas.microsoft.com/office/drawing/2014/chart" uri="{C3380CC4-5D6E-409C-BE32-E72D297353CC}">
              <c16:uniqueId val="{00000002-423B-4B38-966D-2B4EA6516DBD}"/>
            </c:ext>
          </c:extLst>
        </c:ser>
        <c:dLbls>
          <c:showLegendKey val="0"/>
          <c:showVal val="0"/>
          <c:showCatName val="0"/>
          <c:showSerName val="0"/>
          <c:showPercent val="0"/>
          <c:showBubbleSize val="0"/>
        </c:dLbls>
        <c:smooth val="0"/>
        <c:axId val="356068168"/>
        <c:axId val="356060720"/>
      </c:lineChart>
      <c:catAx>
        <c:axId val="356068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r-Latn-RS"/>
          </a:p>
        </c:txPr>
        <c:crossAx val="356060720"/>
        <c:crosses val="autoZero"/>
        <c:auto val="1"/>
        <c:lblAlgn val="ctr"/>
        <c:lblOffset val="100"/>
        <c:noMultiLvlLbl val="0"/>
      </c:catAx>
      <c:valAx>
        <c:axId val="356060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sr-Latn-RS"/>
          </a:p>
        </c:txPr>
        <c:crossAx val="356068168"/>
        <c:crosses val="autoZero"/>
        <c:crossBetween val="between"/>
      </c:valAx>
      <c:spPr>
        <a:noFill/>
        <a:ln>
          <a:noFill/>
        </a:ln>
        <a:effectLst/>
      </c:spPr>
    </c:plotArea>
    <c:legend>
      <c:legendPos val="b"/>
      <c:overlay val="0"/>
      <c:spPr>
        <a:noFill/>
        <a:ln>
          <a:noFill/>
        </a:ln>
        <a:effectLst/>
      </c:spPr>
      <c:txPr>
        <a:bodyPr rot="0" vert="horz"/>
        <a:lstStyle/>
        <a:p>
          <a:pPr>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sr-Latn-R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'Unempl by education'!$A$5</c:f>
              <c:strCache>
                <c:ptCount val="1"/>
                <c:pt idx="0">
                  <c:v>Less than primary, primary and lower secondary education (levels 0-2)</c:v>
                </c:pt>
              </c:strCache>
            </c:strRef>
          </c:tx>
          <c:spPr>
            <a:ln w="28575" cap="rnd">
              <a:solidFill>
                <a:sysClr val="windowText" lastClr="000000"/>
              </a:solidFill>
              <a:prstDash val="sysDot"/>
              <a:round/>
            </a:ln>
            <a:effectLst/>
          </c:spPr>
          <c:marker>
            <c:symbol val="none"/>
          </c:marker>
          <c:cat>
            <c:strRef>
              <c:f>'Unempl by education'!$B$4:$I$4</c:f>
              <c:strCache>
                <c:ptCount val="8"/>
                <c:pt idx="0">
                  <c:v>2006</c:v>
                </c:pt>
                <c:pt idx="1">
                  <c:v>2007</c:v>
                </c:pt>
                <c:pt idx="2">
                  <c:v>2008</c:v>
                </c:pt>
                <c:pt idx="3">
                  <c:v>2009</c:v>
                </c:pt>
                <c:pt idx="4">
                  <c:v>2010</c:v>
                </c:pt>
                <c:pt idx="5">
                  <c:v>2011</c:v>
                </c:pt>
                <c:pt idx="6">
                  <c:v>2012</c:v>
                </c:pt>
                <c:pt idx="7">
                  <c:v>2013</c:v>
                </c:pt>
              </c:strCache>
            </c:strRef>
          </c:cat>
          <c:val>
            <c:numRef>
              <c:f>'Unempl by education'!$B$5:$I$5</c:f>
              <c:numCache>
                <c:formatCode>#,##0.0</c:formatCode>
                <c:ptCount val="8"/>
                <c:pt idx="0">
                  <c:v>45.3</c:v>
                </c:pt>
                <c:pt idx="1">
                  <c:v>44.5</c:v>
                </c:pt>
                <c:pt idx="2">
                  <c:v>42</c:v>
                </c:pt>
                <c:pt idx="3">
                  <c:v>40.9</c:v>
                </c:pt>
                <c:pt idx="4">
                  <c:v>37.700000000000003</c:v>
                </c:pt>
                <c:pt idx="5">
                  <c:v>34.799999999999997</c:v>
                </c:pt>
                <c:pt idx="6">
                  <c:v>33.200000000000003</c:v>
                </c:pt>
                <c:pt idx="7">
                  <c:v>32.9</c:v>
                </c:pt>
              </c:numCache>
            </c:numRef>
          </c:val>
          <c:smooth val="0"/>
          <c:extLst>
            <c:ext xmlns:c16="http://schemas.microsoft.com/office/drawing/2014/chart" uri="{C3380CC4-5D6E-409C-BE32-E72D297353CC}">
              <c16:uniqueId val="{00000000-4812-4716-B9F0-DDFAAD7DAE6D}"/>
            </c:ext>
          </c:extLst>
        </c:ser>
        <c:ser>
          <c:idx val="1"/>
          <c:order val="1"/>
          <c:tx>
            <c:strRef>
              <c:f>'Unempl by education'!$A$6</c:f>
              <c:strCache>
                <c:ptCount val="1"/>
                <c:pt idx="0">
                  <c:v>Upper secondary and post-secondary non-tertiary education (levels 3 and 4)</c:v>
                </c:pt>
              </c:strCache>
            </c:strRef>
          </c:tx>
          <c:spPr>
            <a:ln w="28575" cap="rnd">
              <a:solidFill>
                <a:sysClr val="windowText" lastClr="000000"/>
              </a:solidFill>
              <a:prstDash val="sysDash"/>
              <a:round/>
            </a:ln>
            <a:effectLst/>
          </c:spPr>
          <c:marker>
            <c:symbol val="none"/>
          </c:marker>
          <c:cat>
            <c:strRef>
              <c:f>'Unempl by education'!$B$4:$I$4</c:f>
              <c:strCache>
                <c:ptCount val="8"/>
                <c:pt idx="0">
                  <c:v>2006</c:v>
                </c:pt>
                <c:pt idx="1">
                  <c:v>2007</c:v>
                </c:pt>
                <c:pt idx="2">
                  <c:v>2008</c:v>
                </c:pt>
                <c:pt idx="3">
                  <c:v>2009</c:v>
                </c:pt>
                <c:pt idx="4">
                  <c:v>2010</c:v>
                </c:pt>
                <c:pt idx="5">
                  <c:v>2011</c:v>
                </c:pt>
                <c:pt idx="6">
                  <c:v>2012</c:v>
                </c:pt>
                <c:pt idx="7">
                  <c:v>2013</c:v>
                </c:pt>
              </c:strCache>
            </c:strRef>
          </c:cat>
          <c:val>
            <c:numRef>
              <c:f>'Unempl by education'!$B$6:$I$6</c:f>
              <c:numCache>
                <c:formatCode>#,##0.0</c:formatCode>
                <c:ptCount val="8"/>
                <c:pt idx="0">
                  <c:v>38.4</c:v>
                </c:pt>
                <c:pt idx="1">
                  <c:v>36.4</c:v>
                </c:pt>
                <c:pt idx="2">
                  <c:v>34.1</c:v>
                </c:pt>
                <c:pt idx="3">
                  <c:v>32.6</c:v>
                </c:pt>
                <c:pt idx="4">
                  <c:v>33.4</c:v>
                </c:pt>
                <c:pt idx="5">
                  <c:v>31.8</c:v>
                </c:pt>
                <c:pt idx="6">
                  <c:v>31.9</c:v>
                </c:pt>
                <c:pt idx="7">
                  <c:v>29</c:v>
                </c:pt>
              </c:numCache>
            </c:numRef>
          </c:val>
          <c:smooth val="0"/>
          <c:extLst>
            <c:ext xmlns:c16="http://schemas.microsoft.com/office/drawing/2014/chart" uri="{C3380CC4-5D6E-409C-BE32-E72D297353CC}">
              <c16:uniqueId val="{00000001-4812-4716-B9F0-DDFAAD7DAE6D}"/>
            </c:ext>
          </c:extLst>
        </c:ser>
        <c:ser>
          <c:idx val="2"/>
          <c:order val="2"/>
          <c:tx>
            <c:strRef>
              <c:f>'Unempl by education'!$A$7</c:f>
              <c:strCache>
                <c:ptCount val="1"/>
                <c:pt idx="0">
                  <c:v>Tertiary education (levels 5-8)</c:v>
                </c:pt>
              </c:strCache>
            </c:strRef>
          </c:tx>
          <c:spPr>
            <a:ln w="28575" cap="rnd">
              <a:solidFill>
                <a:sysClr val="windowText" lastClr="000000"/>
              </a:solidFill>
              <a:prstDash val="solid"/>
              <a:round/>
            </a:ln>
            <a:effectLst/>
          </c:spPr>
          <c:marker>
            <c:symbol val="none"/>
          </c:marker>
          <c:cat>
            <c:strRef>
              <c:f>'Unempl by education'!$B$4:$I$4</c:f>
              <c:strCache>
                <c:ptCount val="8"/>
                <c:pt idx="0">
                  <c:v>2006</c:v>
                </c:pt>
                <c:pt idx="1">
                  <c:v>2007</c:v>
                </c:pt>
                <c:pt idx="2">
                  <c:v>2008</c:v>
                </c:pt>
                <c:pt idx="3">
                  <c:v>2009</c:v>
                </c:pt>
                <c:pt idx="4">
                  <c:v>2010</c:v>
                </c:pt>
                <c:pt idx="5">
                  <c:v>2011</c:v>
                </c:pt>
                <c:pt idx="6">
                  <c:v>2012</c:v>
                </c:pt>
                <c:pt idx="7">
                  <c:v>2013</c:v>
                </c:pt>
              </c:strCache>
            </c:strRef>
          </c:cat>
          <c:val>
            <c:numRef>
              <c:f>'Unempl by education'!$B$7:$I$7</c:f>
              <c:numCache>
                <c:formatCode>#,##0.0</c:formatCode>
                <c:ptCount val="8"/>
                <c:pt idx="0">
                  <c:v>23</c:v>
                </c:pt>
                <c:pt idx="1">
                  <c:v>23.2</c:v>
                </c:pt>
                <c:pt idx="2">
                  <c:v>23.7</c:v>
                </c:pt>
                <c:pt idx="3">
                  <c:v>24.8</c:v>
                </c:pt>
                <c:pt idx="4">
                  <c:v>24.8</c:v>
                </c:pt>
                <c:pt idx="5">
                  <c:v>26.3</c:v>
                </c:pt>
                <c:pt idx="6">
                  <c:v>25.9</c:v>
                </c:pt>
                <c:pt idx="7">
                  <c:v>26.8</c:v>
                </c:pt>
              </c:numCache>
            </c:numRef>
          </c:val>
          <c:smooth val="0"/>
          <c:extLst>
            <c:ext xmlns:c16="http://schemas.microsoft.com/office/drawing/2014/chart" uri="{C3380CC4-5D6E-409C-BE32-E72D297353CC}">
              <c16:uniqueId val="{00000002-4812-4716-B9F0-DDFAAD7DAE6D}"/>
            </c:ext>
          </c:extLst>
        </c:ser>
        <c:dLbls>
          <c:showLegendKey val="0"/>
          <c:showVal val="0"/>
          <c:showCatName val="0"/>
          <c:showSerName val="0"/>
          <c:showPercent val="0"/>
          <c:showBubbleSize val="0"/>
        </c:dLbls>
        <c:smooth val="0"/>
        <c:axId val="258006408"/>
        <c:axId val="258006800"/>
      </c:lineChart>
      <c:catAx>
        <c:axId val="258006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crossAx val="258006800"/>
        <c:crosses val="autoZero"/>
        <c:auto val="1"/>
        <c:lblAlgn val="ctr"/>
        <c:lblOffset val="100"/>
        <c:noMultiLvlLbl val="0"/>
      </c:catAx>
      <c:valAx>
        <c:axId val="258006800"/>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crossAx val="258006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654C2-A026-4C41-A1CD-685A4D9C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5952</Words>
  <Characters>35659</Characters>
  <Application>Microsoft Office Word</Application>
  <DocSecurity>0</DocSecurity>
  <Lines>660</Lines>
  <Paragraphs>208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41403</CharactersWithSpaces>
  <SharedDoc>false</SharedDoc>
  <HLinks>
    <vt:vector size="12" baseType="variant">
      <vt:variant>
        <vt:i4>7143425</vt:i4>
      </vt:variant>
      <vt:variant>
        <vt:i4>57</vt:i4>
      </vt:variant>
      <vt:variant>
        <vt:i4>0</vt:i4>
      </vt:variant>
      <vt:variant>
        <vt:i4>5</vt:i4>
      </vt:variant>
      <vt:variant>
        <vt:lpwstr>http://www.stat.gov.mk/PublikaciiPoOblast_en.aspx?id=3&amp;rbrObl=14</vt:lpwstr>
      </vt:variant>
      <vt:variant>
        <vt:lpwstr/>
      </vt:variant>
      <vt:variant>
        <vt:i4>7143425</vt:i4>
      </vt:variant>
      <vt:variant>
        <vt:i4>54</vt:i4>
      </vt:variant>
      <vt:variant>
        <vt:i4>0</vt:i4>
      </vt:variant>
      <vt:variant>
        <vt:i4>5</vt:i4>
      </vt:variant>
      <vt:variant>
        <vt:lpwstr>http://www.stat.gov.mk/PublikaciiPoOblast_en.aspx?id=3&amp;rbrObl=14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Lulzime M</dc:creator>
  <cp:keywords/>
  <dc:description/>
  <cp:lastModifiedBy>USER</cp:lastModifiedBy>
  <cp:revision>2</cp:revision>
  <cp:lastPrinted>2015-05-27T08:02:00Z</cp:lastPrinted>
  <dcterms:created xsi:type="dcterms:W3CDTF">2016-08-24T07:44:00Z</dcterms:created>
  <dcterms:modified xsi:type="dcterms:W3CDTF">2016-08-24T07:44:00Z</dcterms:modified>
</cp:coreProperties>
</file>