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B3D" w:rsidRPr="009F1FFF" w:rsidRDefault="003B7B3D" w:rsidP="003B7B3D">
      <w:pPr>
        <w:jc w:val="center"/>
        <w:rPr>
          <w:sz w:val="28"/>
          <w:lang w:val="en-US"/>
        </w:rPr>
      </w:pPr>
      <w:r w:rsidRPr="009F1FFF">
        <w:rPr>
          <w:sz w:val="28"/>
          <w:lang w:val="en-US"/>
        </w:rPr>
        <w:t>The Relationship between Energy Consumption and Economic Growth: Turkey Case</w:t>
      </w:r>
    </w:p>
    <w:p w:rsidR="00DC0765" w:rsidRPr="009F1FFF" w:rsidRDefault="00DC0765" w:rsidP="00DC0765">
      <w:pPr>
        <w:pStyle w:val="KonuBal"/>
        <w:jc w:val="center"/>
        <w:outlineLvl w:val="0"/>
        <w:rPr>
          <w:rFonts w:ascii="Times New Roman" w:hAnsi="Times New Roman" w:cs="Times New Roman"/>
          <w:color w:val="000000" w:themeColor="text1"/>
          <w:sz w:val="2"/>
          <w:szCs w:val="28"/>
          <w:lang w:val="en-US"/>
        </w:rPr>
      </w:pPr>
    </w:p>
    <w:p w:rsidR="009F1FFF" w:rsidRPr="009F1FFF" w:rsidRDefault="009F1FFF" w:rsidP="009F1FFF">
      <w:pPr>
        <w:jc w:val="right"/>
        <w:rPr>
          <w:b/>
          <w:lang w:val="en-US"/>
        </w:rPr>
      </w:pPr>
    </w:p>
    <w:p w:rsidR="009F1FFF" w:rsidRPr="009F1FFF" w:rsidRDefault="009F1FFF" w:rsidP="009F1FFF">
      <w:pPr>
        <w:pStyle w:val="DipnotMetni"/>
        <w:ind w:left="180" w:hanging="180"/>
        <w:jc w:val="center"/>
        <w:rPr>
          <w:b/>
          <w:sz w:val="22"/>
          <w:szCs w:val="22"/>
          <w:lang w:val="en-US"/>
        </w:rPr>
      </w:pPr>
      <w:bookmarkStart w:id="0" w:name="_GoBack"/>
      <w:r w:rsidRPr="009F1FFF">
        <w:rPr>
          <w:b/>
          <w:sz w:val="22"/>
          <w:szCs w:val="22"/>
          <w:lang w:val="en-US"/>
        </w:rPr>
        <w:t>İbrahim Ö</w:t>
      </w:r>
      <w:r w:rsidRPr="009F1FFF">
        <w:rPr>
          <w:b/>
          <w:sz w:val="22"/>
          <w:szCs w:val="22"/>
          <w:lang w:val="en-US"/>
        </w:rPr>
        <w:t>rnek</w:t>
      </w:r>
    </w:p>
    <w:bookmarkEnd w:id="0"/>
    <w:p w:rsidR="009F1FFF" w:rsidRPr="009F1FFF" w:rsidRDefault="009F1FFF" w:rsidP="009F1FFF">
      <w:pPr>
        <w:pStyle w:val="DipnotMetni"/>
        <w:ind w:left="180" w:hanging="180"/>
        <w:jc w:val="center"/>
        <w:rPr>
          <w:sz w:val="22"/>
          <w:szCs w:val="22"/>
          <w:lang w:val="en-US"/>
        </w:rPr>
      </w:pPr>
      <w:r w:rsidRPr="009F1FFF">
        <w:rPr>
          <w:sz w:val="22"/>
          <w:szCs w:val="22"/>
          <w:lang w:val="en-US"/>
        </w:rPr>
        <w:t>Kahramanmaraş Sütçü İmam University, Kahramanmaraş, Turkey</w:t>
      </w:r>
    </w:p>
    <w:p w:rsidR="009F1FFF" w:rsidRPr="009F1FFF" w:rsidRDefault="009F1FFF" w:rsidP="009F1FFF">
      <w:pPr>
        <w:pStyle w:val="DipnotMetni"/>
        <w:ind w:left="180" w:hanging="180"/>
        <w:jc w:val="center"/>
        <w:rPr>
          <w:sz w:val="22"/>
          <w:szCs w:val="22"/>
          <w:lang w:val="en-US"/>
        </w:rPr>
      </w:pPr>
      <w:hyperlink r:id="rId8" w:history="1">
        <w:r w:rsidRPr="009F1FFF">
          <w:rPr>
            <w:rStyle w:val="Kpr"/>
            <w:sz w:val="22"/>
            <w:szCs w:val="22"/>
            <w:lang w:val="en-US"/>
          </w:rPr>
          <w:t>ornek@ksu.edu.tr</w:t>
        </w:r>
      </w:hyperlink>
      <w:r w:rsidRPr="009F1FFF">
        <w:rPr>
          <w:sz w:val="22"/>
          <w:szCs w:val="22"/>
          <w:lang w:val="en-US"/>
        </w:rPr>
        <w:t xml:space="preserve"> </w:t>
      </w:r>
    </w:p>
    <w:p w:rsidR="00285B9A" w:rsidRPr="009F1FFF" w:rsidRDefault="00285B9A" w:rsidP="000C0831">
      <w:pPr>
        <w:jc w:val="both"/>
        <w:rPr>
          <w:b/>
          <w:noProof/>
          <w:sz w:val="22"/>
          <w:szCs w:val="22"/>
          <w:lang w:val="en-US"/>
        </w:rPr>
      </w:pPr>
    </w:p>
    <w:p w:rsidR="00B976C6" w:rsidRPr="009F1FFF" w:rsidRDefault="0027743E" w:rsidP="00B976C6">
      <w:pPr>
        <w:ind w:left="680" w:right="680"/>
        <w:jc w:val="center"/>
        <w:rPr>
          <w:b/>
          <w:noProof/>
          <w:sz w:val="22"/>
          <w:szCs w:val="22"/>
          <w:lang w:val="en-US"/>
        </w:rPr>
      </w:pPr>
      <w:r w:rsidRPr="009F1FFF">
        <w:rPr>
          <w:b/>
          <w:noProof/>
          <w:sz w:val="22"/>
          <w:szCs w:val="22"/>
          <w:lang w:val="en-US"/>
        </w:rPr>
        <w:t>Abstract</w:t>
      </w:r>
    </w:p>
    <w:p w:rsidR="009F1FFF" w:rsidRPr="009F1FFF" w:rsidRDefault="009F1FFF" w:rsidP="009F1FFF">
      <w:pPr>
        <w:ind w:left="680" w:right="680"/>
        <w:jc w:val="both"/>
        <w:rPr>
          <w:noProof/>
          <w:sz w:val="22"/>
          <w:szCs w:val="22"/>
          <w:lang w:val="en-US"/>
        </w:rPr>
      </w:pPr>
    </w:p>
    <w:p w:rsidR="009F1FFF" w:rsidRPr="004654E9" w:rsidRDefault="009F1FFF" w:rsidP="009F1FFF">
      <w:pPr>
        <w:ind w:left="680" w:right="680"/>
        <w:jc w:val="both"/>
        <w:rPr>
          <w:noProof/>
          <w:sz w:val="22"/>
          <w:szCs w:val="22"/>
          <w:lang w:val="en-US"/>
        </w:rPr>
      </w:pPr>
      <w:r w:rsidRPr="004654E9">
        <w:rPr>
          <w:sz w:val="22"/>
          <w:szCs w:val="22"/>
          <w:lang w:val="en-US"/>
        </w:rPr>
        <w:t>This study investigates the relationship between energy consumption and economic growth. Especially energy resources m</w:t>
      </w:r>
      <w:r w:rsidR="004654E9">
        <w:rPr>
          <w:sz w:val="22"/>
          <w:szCs w:val="22"/>
          <w:lang w:val="en-US"/>
        </w:rPr>
        <w:t>u</w:t>
      </w:r>
      <w:r w:rsidRPr="004654E9">
        <w:rPr>
          <w:sz w:val="22"/>
          <w:szCs w:val="22"/>
          <w:lang w:val="en-US"/>
        </w:rPr>
        <w:t xml:space="preserve">st crucial input for developing countries. Also </w:t>
      </w:r>
      <w:r w:rsidRPr="004654E9">
        <w:rPr>
          <w:sz w:val="22"/>
          <w:szCs w:val="22"/>
          <w:lang w:val="en-US"/>
        </w:rPr>
        <w:t>energy resources are</w:t>
      </w:r>
      <w:r w:rsidRPr="004654E9">
        <w:rPr>
          <w:sz w:val="22"/>
          <w:szCs w:val="22"/>
          <w:lang w:val="en-US"/>
        </w:rPr>
        <w:t xml:space="preserve"> not balanced distribution around the countries. The direction of causation of this relationship </w:t>
      </w:r>
      <w:r w:rsidR="004654E9" w:rsidRPr="004654E9">
        <w:rPr>
          <w:sz w:val="22"/>
          <w:szCs w:val="22"/>
          <w:lang w:val="en-US"/>
        </w:rPr>
        <w:t xml:space="preserve">is </w:t>
      </w:r>
      <w:r w:rsidRPr="004654E9">
        <w:rPr>
          <w:sz w:val="22"/>
          <w:szCs w:val="22"/>
          <w:lang w:val="en-US"/>
        </w:rPr>
        <w:t xml:space="preserve">controversial. Because, the energy consumption affect the economic growth but also economic growth leads to the energy consumption. </w:t>
      </w:r>
      <w:r w:rsidRPr="004654E9">
        <w:rPr>
          <w:sz w:val="22"/>
          <w:szCs w:val="22"/>
          <w:lang w:val="en-US"/>
        </w:rPr>
        <w:t>Empirically</w:t>
      </w:r>
      <w:r w:rsidRPr="004654E9">
        <w:rPr>
          <w:sz w:val="22"/>
          <w:szCs w:val="22"/>
          <w:lang w:val="en-US"/>
        </w:rPr>
        <w:t xml:space="preserve"> </w:t>
      </w:r>
      <w:r w:rsidR="004654E9" w:rsidRPr="004654E9">
        <w:rPr>
          <w:sz w:val="22"/>
          <w:szCs w:val="22"/>
          <w:lang w:val="en-US"/>
        </w:rPr>
        <w:t>this paper tries</w:t>
      </w:r>
      <w:r w:rsidRPr="004654E9">
        <w:rPr>
          <w:sz w:val="22"/>
          <w:szCs w:val="22"/>
          <w:lang w:val="en-US"/>
        </w:rPr>
        <w:t xml:space="preserve"> to find the direction of causality between energy consumption and economic growth for Turkey. For the </w:t>
      </w:r>
      <w:r w:rsidRPr="004654E9">
        <w:rPr>
          <w:sz w:val="22"/>
          <w:szCs w:val="22"/>
          <w:lang w:val="en-US"/>
        </w:rPr>
        <w:t>empirical</w:t>
      </w:r>
      <w:r w:rsidRPr="004654E9">
        <w:rPr>
          <w:sz w:val="22"/>
          <w:szCs w:val="22"/>
          <w:lang w:val="en-US"/>
        </w:rPr>
        <w:t xml:space="preserve"> analysis is used to be co-integration analysis.</w:t>
      </w:r>
    </w:p>
    <w:p w:rsidR="00F95B9F" w:rsidRPr="004654E9" w:rsidRDefault="00F95B9F" w:rsidP="000C0831">
      <w:pPr>
        <w:ind w:left="680" w:right="680"/>
        <w:jc w:val="both"/>
        <w:rPr>
          <w:b/>
          <w:noProof/>
          <w:color w:val="000000"/>
          <w:sz w:val="22"/>
          <w:szCs w:val="22"/>
          <w:lang w:val="en-US"/>
        </w:rPr>
      </w:pPr>
    </w:p>
    <w:p w:rsidR="00EE1A90" w:rsidRPr="004654E9" w:rsidRDefault="00BD438A" w:rsidP="009F1FFF">
      <w:pPr>
        <w:ind w:left="680" w:right="680"/>
        <w:rPr>
          <w:noProof/>
          <w:color w:val="000000"/>
          <w:sz w:val="22"/>
          <w:szCs w:val="22"/>
          <w:lang w:val="en-US"/>
        </w:rPr>
      </w:pPr>
      <w:r w:rsidRPr="004654E9">
        <w:rPr>
          <w:b/>
          <w:noProof/>
          <w:color w:val="000000"/>
          <w:sz w:val="22"/>
          <w:szCs w:val="22"/>
          <w:lang w:val="en-US"/>
        </w:rPr>
        <w:t>Key words</w:t>
      </w:r>
      <w:r w:rsidRPr="004654E9">
        <w:rPr>
          <w:noProof/>
          <w:color w:val="000000"/>
          <w:sz w:val="22"/>
          <w:szCs w:val="22"/>
          <w:lang w:val="en-US"/>
        </w:rPr>
        <w:t xml:space="preserve">: </w:t>
      </w:r>
      <w:r w:rsidR="009F1FFF" w:rsidRPr="004654E9">
        <w:rPr>
          <w:noProof/>
          <w:color w:val="000000"/>
          <w:sz w:val="22"/>
          <w:szCs w:val="22"/>
          <w:lang w:val="en-US"/>
        </w:rPr>
        <w:t>economic growth, Turkey, energy consumption.</w:t>
      </w:r>
    </w:p>
    <w:p w:rsidR="004654E9" w:rsidRDefault="004654E9" w:rsidP="000C0831">
      <w:pPr>
        <w:ind w:left="567" w:right="567"/>
        <w:jc w:val="both"/>
        <w:rPr>
          <w:noProof/>
          <w:color w:val="000000"/>
          <w:lang w:val="en-US"/>
        </w:rPr>
      </w:pPr>
    </w:p>
    <w:p w:rsidR="00285B9A" w:rsidRPr="009F1FFF" w:rsidRDefault="00285B9A" w:rsidP="000C0831">
      <w:pPr>
        <w:ind w:left="567" w:right="567"/>
        <w:jc w:val="both"/>
        <w:rPr>
          <w:noProof/>
          <w:color w:val="000000"/>
          <w:lang w:val="en-US"/>
        </w:rPr>
      </w:pPr>
      <w:r w:rsidRPr="009F1FFF">
        <w:rPr>
          <w:noProof/>
          <w:color w:val="000000"/>
          <w:lang w:val="en-US"/>
        </w:rPr>
        <w:t xml:space="preserve"> </w:t>
      </w:r>
    </w:p>
    <w:p w:rsidR="009F1FFF" w:rsidRPr="009F1FFF" w:rsidRDefault="009F1FFF" w:rsidP="009F1FFF">
      <w:pPr>
        <w:spacing w:after="120"/>
        <w:jc w:val="both"/>
        <w:rPr>
          <w:b/>
          <w:lang w:val="en-US"/>
        </w:rPr>
      </w:pPr>
      <w:r w:rsidRPr="009F1FFF">
        <w:rPr>
          <w:b/>
          <w:lang w:val="en-US"/>
        </w:rPr>
        <w:t xml:space="preserve">Review of Literatures </w:t>
      </w:r>
    </w:p>
    <w:p w:rsidR="009F1FFF" w:rsidRPr="009F1FFF" w:rsidRDefault="004654E9" w:rsidP="009F1FFF">
      <w:pPr>
        <w:spacing w:after="120"/>
        <w:jc w:val="both"/>
        <w:rPr>
          <w:lang w:val="en-US"/>
        </w:rPr>
      </w:pPr>
      <w:r w:rsidRPr="009F1FFF">
        <w:rPr>
          <w:lang w:val="en-US"/>
        </w:rPr>
        <w:t>Empirically</w:t>
      </w:r>
      <w:r w:rsidR="009F1FFF" w:rsidRPr="009F1FFF">
        <w:rPr>
          <w:lang w:val="en-US"/>
        </w:rPr>
        <w:t xml:space="preserve"> some papers have been investigated direction causality between energy consumption and economic growth in the literature. So </w:t>
      </w:r>
      <w:r w:rsidRPr="009F1FFF">
        <w:rPr>
          <w:lang w:val="en-US"/>
        </w:rPr>
        <w:t>these</w:t>
      </w:r>
      <w:r w:rsidR="009F1FFF" w:rsidRPr="009F1FFF">
        <w:rPr>
          <w:lang w:val="en-US"/>
        </w:rPr>
        <w:t xml:space="preserve"> </w:t>
      </w:r>
      <w:r w:rsidRPr="009F1FFF">
        <w:rPr>
          <w:lang w:val="en-US"/>
        </w:rPr>
        <w:t>papers’</w:t>
      </w:r>
      <w:r w:rsidR="009F1FFF" w:rsidRPr="009F1FFF">
        <w:rPr>
          <w:lang w:val="en-US"/>
        </w:rPr>
        <w:t xml:space="preserve"> results are mixed. For example, Kraft’s (1978) found that unidirectional causality from growth to energy consumption for USA. Yet, Yu, </w:t>
      </w:r>
      <w:r w:rsidRPr="009F1FFF">
        <w:rPr>
          <w:lang w:val="en-US"/>
        </w:rPr>
        <w:t>et.</w:t>
      </w:r>
      <w:r w:rsidR="009F1FFF" w:rsidRPr="009F1FFF">
        <w:rPr>
          <w:lang w:val="en-US"/>
        </w:rPr>
        <w:t xml:space="preserve"> (1988), found no relationship between growth and energy consumption   in case of USA. Yu and Chai, (1985), also found causality from energy consumption to economic growth. For Taiwan was found bi-</w:t>
      </w:r>
      <w:r w:rsidRPr="009F1FFF">
        <w:rPr>
          <w:lang w:val="en-US"/>
        </w:rPr>
        <w:t>directional</w:t>
      </w:r>
      <w:r w:rsidR="009F1FFF" w:rsidRPr="009F1FFF">
        <w:rPr>
          <w:lang w:val="en-US"/>
        </w:rPr>
        <w:t xml:space="preserve"> causality between energy and growth (Aqeel and Butt, 2001, 202). </w:t>
      </w:r>
    </w:p>
    <w:p w:rsidR="009F1FFF" w:rsidRPr="009F1FFF" w:rsidRDefault="009F1FFF" w:rsidP="009F1FFF">
      <w:pPr>
        <w:spacing w:after="120"/>
        <w:jc w:val="both"/>
        <w:rPr>
          <w:lang w:val="en-US"/>
        </w:rPr>
      </w:pPr>
      <w:r w:rsidRPr="009F1FFF">
        <w:rPr>
          <w:rStyle w:val="hps"/>
          <w:lang w:val="en-US"/>
        </w:rPr>
        <w:t>Mucuk</w:t>
      </w:r>
      <w:r w:rsidRPr="009F1FFF">
        <w:rPr>
          <w:lang w:val="en-US"/>
        </w:rPr>
        <w:t xml:space="preserve"> </w:t>
      </w:r>
      <w:r w:rsidRPr="009F1FFF">
        <w:rPr>
          <w:rStyle w:val="hps"/>
          <w:lang w:val="en-US"/>
        </w:rPr>
        <w:t>and</w:t>
      </w:r>
      <w:r w:rsidRPr="009F1FFF">
        <w:rPr>
          <w:lang w:val="en-US"/>
        </w:rPr>
        <w:t xml:space="preserve"> </w:t>
      </w:r>
      <w:r w:rsidRPr="009F1FFF">
        <w:rPr>
          <w:rStyle w:val="hpsatn"/>
          <w:lang w:val="en-US"/>
        </w:rPr>
        <w:t>Uysal (</w:t>
      </w:r>
      <w:r w:rsidRPr="009F1FFF">
        <w:rPr>
          <w:lang w:val="en-US"/>
        </w:rPr>
        <w:t xml:space="preserve">2009), </w:t>
      </w:r>
      <w:r w:rsidRPr="009F1FFF">
        <w:rPr>
          <w:rStyle w:val="hps"/>
          <w:lang w:val="en-US"/>
        </w:rPr>
        <w:t>in Turkey,</w:t>
      </w:r>
      <w:r w:rsidRPr="009F1FFF">
        <w:rPr>
          <w:lang w:val="en-US"/>
        </w:rPr>
        <w:t xml:space="preserve"> </w:t>
      </w:r>
      <w:r w:rsidRPr="009F1FFF">
        <w:rPr>
          <w:rStyle w:val="hps"/>
          <w:lang w:val="en-US"/>
        </w:rPr>
        <w:t>the causal relationship between</w:t>
      </w:r>
      <w:r w:rsidRPr="009F1FFF">
        <w:rPr>
          <w:lang w:val="en-US"/>
        </w:rPr>
        <w:t xml:space="preserve"> </w:t>
      </w:r>
      <w:r w:rsidRPr="009F1FFF">
        <w:rPr>
          <w:rStyle w:val="hps"/>
          <w:lang w:val="en-US"/>
        </w:rPr>
        <w:t>energy</w:t>
      </w:r>
      <w:r w:rsidRPr="009F1FFF">
        <w:rPr>
          <w:lang w:val="en-US"/>
        </w:rPr>
        <w:t xml:space="preserve"> </w:t>
      </w:r>
      <w:r w:rsidRPr="009F1FFF">
        <w:rPr>
          <w:rStyle w:val="hps"/>
          <w:lang w:val="en-US"/>
        </w:rPr>
        <w:t>consumption and economic growth</w:t>
      </w:r>
      <w:r w:rsidRPr="009F1FFF">
        <w:rPr>
          <w:lang w:val="en-US"/>
        </w:rPr>
        <w:t xml:space="preserve"> </w:t>
      </w:r>
      <w:r w:rsidRPr="009F1FFF">
        <w:rPr>
          <w:rStyle w:val="hps"/>
          <w:lang w:val="en-US"/>
        </w:rPr>
        <w:t>examined</w:t>
      </w:r>
      <w:r w:rsidRPr="009F1FFF">
        <w:rPr>
          <w:lang w:val="en-US"/>
        </w:rPr>
        <w:t xml:space="preserve"> </w:t>
      </w:r>
      <w:r w:rsidRPr="009F1FFF">
        <w:rPr>
          <w:rStyle w:val="hps"/>
          <w:lang w:val="en-US"/>
        </w:rPr>
        <w:t>using</w:t>
      </w:r>
      <w:r w:rsidRPr="009F1FFF">
        <w:rPr>
          <w:lang w:val="en-US"/>
        </w:rPr>
        <w:t xml:space="preserve"> </w:t>
      </w:r>
      <w:r w:rsidRPr="009F1FFF">
        <w:rPr>
          <w:rStyle w:val="hps"/>
          <w:lang w:val="en-US"/>
        </w:rPr>
        <w:t>co</w:t>
      </w:r>
      <w:r w:rsidR="004654E9">
        <w:rPr>
          <w:rStyle w:val="hps"/>
          <w:lang w:val="en-US"/>
        </w:rPr>
        <w:t>-</w:t>
      </w:r>
      <w:r w:rsidRPr="009F1FFF">
        <w:rPr>
          <w:rStyle w:val="hps"/>
          <w:lang w:val="en-US"/>
        </w:rPr>
        <w:t>integration</w:t>
      </w:r>
      <w:r w:rsidRPr="009F1FFF">
        <w:rPr>
          <w:lang w:val="en-US"/>
        </w:rPr>
        <w:t xml:space="preserve"> </w:t>
      </w:r>
      <w:r w:rsidRPr="009F1FFF">
        <w:rPr>
          <w:rStyle w:val="hps"/>
          <w:lang w:val="en-US"/>
        </w:rPr>
        <w:t>and Granger</w:t>
      </w:r>
      <w:r w:rsidRPr="009F1FFF">
        <w:rPr>
          <w:lang w:val="en-US"/>
        </w:rPr>
        <w:t xml:space="preserve"> </w:t>
      </w:r>
      <w:r w:rsidRPr="009F1FFF">
        <w:rPr>
          <w:rStyle w:val="hps"/>
          <w:lang w:val="en-US"/>
        </w:rPr>
        <w:t>causality tests</w:t>
      </w:r>
      <w:r w:rsidRPr="009F1FFF">
        <w:rPr>
          <w:lang w:val="en-US"/>
        </w:rPr>
        <w:t xml:space="preserve">. </w:t>
      </w:r>
      <w:r w:rsidRPr="009F1FFF">
        <w:rPr>
          <w:rStyle w:val="hps"/>
          <w:lang w:val="en-US"/>
        </w:rPr>
        <w:t>In their study,</w:t>
      </w:r>
      <w:r w:rsidRPr="009F1FFF">
        <w:rPr>
          <w:lang w:val="en-US"/>
        </w:rPr>
        <w:t xml:space="preserve"> </w:t>
      </w:r>
      <w:r w:rsidRPr="009F1FFF">
        <w:rPr>
          <w:rStyle w:val="hps"/>
          <w:lang w:val="en-US"/>
        </w:rPr>
        <w:t>the results obtained</w:t>
      </w:r>
      <w:r w:rsidRPr="009F1FFF">
        <w:rPr>
          <w:lang w:val="en-US"/>
        </w:rPr>
        <w:t xml:space="preserve"> </w:t>
      </w:r>
      <w:r w:rsidRPr="009F1FFF">
        <w:rPr>
          <w:rStyle w:val="hps"/>
          <w:lang w:val="en-US"/>
        </w:rPr>
        <w:t>with</w:t>
      </w:r>
      <w:r w:rsidRPr="009F1FFF">
        <w:rPr>
          <w:lang w:val="en-US"/>
        </w:rPr>
        <w:t xml:space="preserve"> </w:t>
      </w:r>
      <w:r w:rsidRPr="009F1FFF">
        <w:rPr>
          <w:rStyle w:val="hps"/>
          <w:lang w:val="en-US"/>
        </w:rPr>
        <w:t>stationary</w:t>
      </w:r>
      <w:r w:rsidRPr="009F1FFF">
        <w:rPr>
          <w:lang w:val="en-US"/>
        </w:rPr>
        <w:t xml:space="preserve"> </w:t>
      </w:r>
      <w:r w:rsidRPr="009F1FFF">
        <w:rPr>
          <w:rStyle w:val="hps"/>
          <w:lang w:val="en-US"/>
        </w:rPr>
        <w:t>series</w:t>
      </w:r>
      <w:r w:rsidRPr="009F1FFF">
        <w:rPr>
          <w:lang w:val="en-US"/>
        </w:rPr>
        <w:t xml:space="preserve"> </w:t>
      </w:r>
      <w:r w:rsidRPr="009F1FFF">
        <w:rPr>
          <w:rStyle w:val="hps"/>
          <w:lang w:val="en-US"/>
        </w:rPr>
        <w:t>are co</w:t>
      </w:r>
      <w:r w:rsidR="004654E9">
        <w:rPr>
          <w:rStyle w:val="hps"/>
          <w:lang w:val="en-US"/>
        </w:rPr>
        <w:t>-</w:t>
      </w:r>
      <w:r w:rsidRPr="009F1FFF">
        <w:rPr>
          <w:rStyle w:val="hps"/>
          <w:lang w:val="en-US"/>
        </w:rPr>
        <w:t>integrated</w:t>
      </w:r>
      <w:r w:rsidRPr="009F1FFF">
        <w:rPr>
          <w:lang w:val="en-US"/>
        </w:rPr>
        <w:t xml:space="preserve"> </w:t>
      </w:r>
      <w:r w:rsidRPr="009F1FFF">
        <w:rPr>
          <w:rStyle w:val="hps"/>
          <w:lang w:val="en-US"/>
        </w:rPr>
        <w:t>in the long term</w:t>
      </w:r>
      <w:r w:rsidRPr="009F1FFF">
        <w:rPr>
          <w:lang w:val="en-US"/>
        </w:rPr>
        <w:t xml:space="preserve"> </w:t>
      </w:r>
      <w:r w:rsidRPr="009F1FFF">
        <w:rPr>
          <w:rStyle w:val="hps"/>
          <w:lang w:val="en-US"/>
        </w:rPr>
        <w:t>so</w:t>
      </w:r>
      <w:r w:rsidRPr="009F1FFF">
        <w:rPr>
          <w:lang w:val="en-US"/>
        </w:rPr>
        <w:t xml:space="preserve"> </w:t>
      </w:r>
      <w:r w:rsidRPr="009F1FFF">
        <w:rPr>
          <w:rStyle w:val="hps"/>
          <w:lang w:val="en-US"/>
        </w:rPr>
        <w:t>that they move together</w:t>
      </w:r>
      <w:r w:rsidRPr="009F1FFF">
        <w:rPr>
          <w:lang w:val="en-US"/>
        </w:rPr>
        <w:t xml:space="preserve"> </w:t>
      </w:r>
      <w:r w:rsidRPr="009F1FFF">
        <w:rPr>
          <w:rStyle w:val="hps"/>
          <w:lang w:val="en-US"/>
        </w:rPr>
        <w:t>found</w:t>
      </w:r>
      <w:r w:rsidRPr="009F1FFF">
        <w:rPr>
          <w:lang w:val="en-US"/>
        </w:rPr>
        <w:t>.</w:t>
      </w:r>
    </w:p>
    <w:p w:rsidR="009F1FFF" w:rsidRPr="009F1FFF" w:rsidRDefault="009F1FFF" w:rsidP="009F1FFF">
      <w:pPr>
        <w:autoSpaceDE w:val="0"/>
        <w:autoSpaceDN w:val="0"/>
        <w:adjustRightInd w:val="0"/>
        <w:spacing w:after="120"/>
        <w:jc w:val="both"/>
        <w:rPr>
          <w:lang w:val="en-US"/>
        </w:rPr>
      </w:pPr>
      <w:r w:rsidRPr="009F1FFF">
        <w:rPr>
          <w:rStyle w:val="hps"/>
          <w:lang w:val="en-US"/>
        </w:rPr>
        <w:t>Akan,</w:t>
      </w:r>
      <w:r w:rsidRPr="009F1FFF">
        <w:rPr>
          <w:lang w:val="en-US"/>
        </w:rPr>
        <w:t xml:space="preserve"> </w:t>
      </w:r>
      <w:r w:rsidRPr="009F1FFF">
        <w:rPr>
          <w:rStyle w:val="hps"/>
          <w:lang w:val="en-US"/>
        </w:rPr>
        <w:t>Doğan and</w:t>
      </w:r>
      <w:r w:rsidRPr="009F1FFF">
        <w:rPr>
          <w:lang w:val="en-US"/>
        </w:rPr>
        <w:t xml:space="preserve"> </w:t>
      </w:r>
      <w:r w:rsidRPr="009F1FFF">
        <w:rPr>
          <w:rStyle w:val="hps"/>
          <w:lang w:val="en-US"/>
        </w:rPr>
        <w:t>Işık</w:t>
      </w:r>
      <w:r w:rsidRPr="009F1FFF">
        <w:rPr>
          <w:lang w:val="en-US"/>
        </w:rPr>
        <w:t xml:space="preserve"> </w:t>
      </w:r>
      <w:r w:rsidRPr="009F1FFF">
        <w:rPr>
          <w:rStyle w:val="hps"/>
          <w:lang w:val="en-US"/>
        </w:rPr>
        <w:t>(2010),</w:t>
      </w:r>
      <w:r w:rsidRPr="009F1FFF">
        <w:rPr>
          <w:lang w:val="en-US"/>
        </w:rPr>
        <w:t xml:space="preserve"> </w:t>
      </w:r>
      <w:r w:rsidRPr="009F1FFF">
        <w:rPr>
          <w:rStyle w:val="hps"/>
          <w:lang w:val="en-US"/>
        </w:rPr>
        <w:t>studies</w:t>
      </w:r>
      <w:r w:rsidRPr="009F1FFF">
        <w:rPr>
          <w:lang w:val="en-US"/>
        </w:rPr>
        <w:t xml:space="preserve"> </w:t>
      </w:r>
      <w:r w:rsidRPr="009F1FFF">
        <w:rPr>
          <w:rStyle w:val="hps"/>
          <w:lang w:val="en-US"/>
        </w:rPr>
        <w:t>of economic growth</w:t>
      </w:r>
      <w:r w:rsidRPr="009F1FFF">
        <w:rPr>
          <w:lang w:val="en-US"/>
        </w:rPr>
        <w:t xml:space="preserve"> </w:t>
      </w:r>
      <w:r w:rsidRPr="009F1FFF">
        <w:rPr>
          <w:rStyle w:val="hps"/>
          <w:lang w:val="en-US"/>
        </w:rPr>
        <w:t>and energy</w:t>
      </w:r>
      <w:r w:rsidRPr="009F1FFF">
        <w:rPr>
          <w:lang w:val="en-US"/>
        </w:rPr>
        <w:t xml:space="preserve"> </w:t>
      </w:r>
      <w:r w:rsidRPr="009F1FFF">
        <w:rPr>
          <w:rStyle w:val="hps"/>
          <w:lang w:val="en-US"/>
        </w:rPr>
        <w:t>consumption variables</w:t>
      </w:r>
      <w:r w:rsidRPr="009F1FFF">
        <w:rPr>
          <w:lang w:val="en-US"/>
        </w:rPr>
        <w:t xml:space="preserve"> </w:t>
      </w:r>
      <w:r w:rsidR="004654E9">
        <w:rPr>
          <w:lang w:val="en-US"/>
        </w:rPr>
        <w:t xml:space="preserve">are </w:t>
      </w:r>
      <w:r w:rsidRPr="009F1FFF">
        <w:rPr>
          <w:rStyle w:val="hps"/>
          <w:lang w:val="en-US"/>
        </w:rPr>
        <w:t>examined</w:t>
      </w:r>
      <w:r w:rsidRPr="009F1FFF">
        <w:rPr>
          <w:lang w:val="en-US"/>
        </w:rPr>
        <w:t xml:space="preserve"> </w:t>
      </w:r>
      <w:r w:rsidRPr="009F1FFF">
        <w:rPr>
          <w:rStyle w:val="hps"/>
          <w:lang w:val="en-US"/>
        </w:rPr>
        <w:t>for the period</w:t>
      </w:r>
      <w:r w:rsidRPr="009F1FFF">
        <w:rPr>
          <w:lang w:val="en-US"/>
        </w:rPr>
        <w:t xml:space="preserve"> </w:t>
      </w:r>
      <w:r w:rsidRPr="009F1FFF">
        <w:rPr>
          <w:rStyle w:val="hps"/>
          <w:lang w:val="en-US"/>
        </w:rPr>
        <w:t>1970-2007</w:t>
      </w:r>
      <w:r w:rsidRPr="009F1FFF">
        <w:rPr>
          <w:lang w:val="en-US"/>
        </w:rPr>
        <w:t xml:space="preserve">. </w:t>
      </w:r>
      <w:r w:rsidRPr="009F1FFF">
        <w:rPr>
          <w:rStyle w:val="hps"/>
          <w:lang w:val="en-US"/>
        </w:rPr>
        <w:t>As a result of</w:t>
      </w:r>
      <w:r w:rsidRPr="009F1FFF">
        <w:rPr>
          <w:lang w:val="en-US"/>
        </w:rPr>
        <w:t xml:space="preserve"> </w:t>
      </w:r>
      <w:r w:rsidRPr="009F1FFF">
        <w:rPr>
          <w:rStyle w:val="hps"/>
          <w:lang w:val="en-US"/>
        </w:rPr>
        <w:t>research</w:t>
      </w:r>
      <w:r w:rsidRPr="009F1FFF">
        <w:rPr>
          <w:lang w:val="en-US"/>
        </w:rPr>
        <w:t xml:space="preserve"> </w:t>
      </w:r>
      <w:r w:rsidRPr="009F1FFF">
        <w:rPr>
          <w:rStyle w:val="hps"/>
          <w:lang w:val="en-US"/>
        </w:rPr>
        <w:t>in Turkey</w:t>
      </w:r>
      <w:r w:rsidRPr="009F1FFF">
        <w:rPr>
          <w:lang w:val="en-US"/>
        </w:rPr>
        <w:t xml:space="preserve"> </w:t>
      </w:r>
      <w:r w:rsidRPr="009F1FFF">
        <w:rPr>
          <w:rStyle w:val="hps"/>
          <w:lang w:val="en-US"/>
        </w:rPr>
        <w:t>between</w:t>
      </w:r>
      <w:r w:rsidRPr="009F1FFF">
        <w:rPr>
          <w:lang w:val="en-US"/>
        </w:rPr>
        <w:t xml:space="preserve"> </w:t>
      </w:r>
      <w:r w:rsidRPr="009F1FFF">
        <w:rPr>
          <w:rStyle w:val="hps"/>
          <w:lang w:val="en-US"/>
        </w:rPr>
        <w:t>economic growth and</w:t>
      </w:r>
      <w:r w:rsidRPr="009F1FFF">
        <w:rPr>
          <w:lang w:val="en-US"/>
        </w:rPr>
        <w:t xml:space="preserve"> </w:t>
      </w:r>
      <w:r w:rsidRPr="009F1FFF">
        <w:rPr>
          <w:rStyle w:val="hps"/>
          <w:lang w:val="en-US"/>
        </w:rPr>
        <w:t>energy consumption</w:t>
      </w:r>
      <w:r w:rsidRPr="009F1FFF">
        <w:rPr>
          <w:lang w:val="en-US"/>
        </w:rPr>
        <w:t xml:space="preserve"> </w:t>
      </w:r>
      <w:r w:rsidRPr="009F1FFF">
        <w:rPr>
          <w:rStyle w:val="hps"/>
          <w:lang w:val="en-US"/>
        </w:rPr>
        <w:t>have revealed</w:t>
      </w:r>
      <w:r w:rsidRPr="009F1FFF">
        <w:rPr>
          <w:lang w:val="en-US"/>
        </w:rPr>
        <w:t xml:space="preserve"> </w:t>
      </w:r>
      <w:r w:rsidRPr="009F1FFF">
        <w:rPr>
          <w:rStyle w:val="hps"/>
          <w:lang w:val="en-US"/>
        </w:rPr>
        <w:t>that</w:t>
      </w:r>
      <w:r w:rsidRPr="009F1FFF">
        <w:rPr>
          <w:lang w:val="en-US"/>
        </w:rPr>
        <w:t xml:space="preserve"> </w:t>
      </w:r>
      <w:r w:rsidRPr="009F1FFF">
        <w:rPr>
          <w:rStyle w:val="hps"/>
          <w:lang w:val="en-US"/>
        </w:rPr>
        <w:t>a two-way</w:t>
      </w:r>
      <w:r w:rsidRPr="009F1FFF">
        <w:rPr>
          <w:lang w:val="en-US"/>
        </w:rPr>
        <w:t xml:space="preserve"> </w:t>
      </w:r>
      <w:r w:rsidRPr="009F1FFF">
        <w:rPr>
          <w:rStyle w:val="hps"/>
          <w:lang w:val="en-US"/>
        </w:rPr>
        <w:t>causal relationship</w:t>
      </w:r>
      <w:r w:rsidRPr="009F1FFF">
        <w:rPr>
          <w:lang w:val="en-US"/>
        </w:rPr>
        <w:t>.</w:t>
      </w:r>
    </w:p>
    <w:p w:rsidR="009F1FFF" w:rsidRPr="009F1FFF" w:rsidRDefault="009F1FFF" w:rsidP="009F1FFF">
      <w:pPr>
        <w:autoSpaceDE w:val="0"/>
        <w:autoSpaceDN w:val="0"/>
        <w:adjustRightInd w:val="0"/>
        <w:spacing w:after="120"/>
        <w:jc w:val="both"/>
        <w:rPr>
          <w:rStyle w:val="hps"/>
          <w:lang w:val="en-US"/>
        </w:rPr>
      </w:pPr>
      <w:r w:rsidRPr="009F1FFF">
        <w:rPr>
          <w:rStyle w:val="hps"/>
          <w:lang w:val="en-US"/>
        </w:rPr>
        <w:t>Alptekin and Güvenek</w:t>
      </w:r>
      <w:r w:rsidRPr="009F1FFF">
        <w:rPr>
          <w:lang w:val="en-US"/>
        </w:rPr>
        <w:t xml:space="preserve"> </w:t>
      </w:r>
      <w:r w:rsidRPr="009F1FFF">
        <w:rPr>
          <w:rStyle w:val="hps"/>
          <w:lang w:val="en-US"/>
        </w:rPr>
        <w:t>(2010),</w:t>
      </w:r>
      <w:r w:rsidRPr="009F1FFF">
        <w:rPr>
          <w:lang w:val="en-US"/>
        </w:rPr>
        <w:t xml:space="preserve"> </w:t>
      </w:r>
      <w:r w:rsidRPr="009F1FFF">
        <w:rPr>
          <w:rStyle w:val="hps"/>
          <w:lang w:val="en-US"/>
        </w:rPr>
        <w:t>studies</w:t>
      </w:r>
      <w:r w:rsidRPr="009F1FFF">
        <w:rPr>
          <w:lang w:val="en-US"/>
        </w:rPr>
        <w:t xml:space="preserve"> </w:t>
      </w:r>
      <w:r w:rsidRPr="009F1FFF">
        <w:rPr>
          <w:rStyle w:val="hps"/>
          <w:lang w:val="en-US"/>
        </w:rPr>
        <w:t>the causal</w:t>
      </w:r>
      <w:r w:rsidRPr="009F1FFF">
        <w:rPr>
          <w:lang w:val="en-US"/>
        </w:rPr>
        <w:t xml:space="preserve"> </w:t>
      </w:r>
      <w:r w:rsidRPr="009F1FFF">
        <w:rPr>
          <w:rStyle w:val="hps"/>
          <w:lang w:val="en-US"/>
        </w:rPr>
        <w:t>relationship</w:t>
      </w:r>
      <w:r w:rsidRPr="009F1FFF">
        <w:rPr>
          <w:lang w:val="en-US"/>
        </w:rPr>
        <w:t xml:space="preserve"> </w:t>
      </w:r>
      <w:r w:rsidRPr="009F1FFF">
        <w:rPr>
          <w:rStyle w:val="hps"/>
          <w:lang w:val="en-US"/>
        </w:rPr>
        <w:t>between economic growth and</w:t>
      </w:r>
      <w:r w:rsidRPr="009F1FFF">
        <w:rPr>
          <w:lang w:val="en-US"/>
        </w:rPr>
        <w:t xml:space="preserve"> </w:t>
      </w:r>
      <w:r w:rsidRPr="009F1FFF">
        <w:rPr>
          <w:rStyle w:val="hps"/>
          <w:lang w:val="en-US"/>
        </w:rPr>
        <w:t>the final</w:t>
      </w:r>
      <w:r w:rsidRPr="009F1FFF">
        <w:rPr>
          <w:lang w:val="en-US"/>
        </w:rPr>
        <w:t xml:space="preserve"> </w:t>
      </w:r>
      <w:r w:rsidRPr="009F1FFF">
        <w:rPr>
          <w:rStyle w:val="hps"/>
          <w:lang w:val="en-US"/>
        </w:rPr>
        <w:t>energy consumption</w:t>
      </w:r>
      <w:r w:rsidRPr="009F1FFF">
        <w:rPr>
          <w:lang w:val="en-US"/>
        </w:rPr>
        <w:t xml:space="preserve"> </w:t>
      </w:r>
      <w:r w:rsidRPr="009F1FFF">
        <w:rPr>
          <w:rStyle w:val="hps"/>
          <w:lang w:val="en-US"/>
        </w:rPr>
        <w:t>for</w:t>
      </w:r>
      <w:r w:rsidRPr="009F1FFF">
        <w:rPr>
          <w:lang w:val="en-US"/>
        </w:rPr>
        <w:t xml:space="preserve"> </w:t>
      </w:r>
      <w:r w:rsidRPr="009F1FFF">
        <w:rPr>
          <w:rStyle w:val="hps"/>
          <w:lang w:val="en-US"/>
        </w:rPr>
        <w:t>25</w:t>
      </w:r>
      <w:r w:rsidRPr="009F1FFF">
        <w:rPr>
          <w:lang w:val="en-US"/>
        </w:rPr>
        <w:t xml:space="preserve"> </w:t>
      </w:r>
      <w:r w:rsidRPr="009F1FFF">
        <w:rPr>
          <w:rStyle w:val="hps"/>
          <w:lang w:val="en-US"/>
        </w:rPr>
        <w:t>OECD member countries</w:t>
      </w:r>
      <w:r w:rsidRPr="009F1FFF">
        <w:rPr>
          <w:lang w:val="en-US"/>
        </w:rPr>
        <w:t xml:space="preserve"> </w:t>
      </w:r>
      <w:r w:rsidRPr="009F1FFF">
        <w:rPr>
          <w:rStyle w:val="hps"/>
          <w:lang w:val="en-US"/>
        </w:rPr>
        <w:t>has been</w:t>
      </w:r>
      <w:r w:rsidRPr="009F1FFF">
        <w:rPr>
          <w:lang w:val="en-US"/>
        </w:rPr>
        <w:t xml:space="preserve"> </w:t>
      </w:r>
      <w:r w:rsidRPr="009F1FFF">
        <w:rPr>
          <w:rStyle w:val="hps"/>
          <w:lang w:val="en-US"/>
        </w:rPr>
        <w:t>estimated using</w:t>
      </w:r>
      <w:r w:rsidRPr="009F1FFF">
        <w:rPr>
          <w:lang w:val="en-US"/>
        </w:rPr>
        <w:t xml:space="preserve"> </w:t>
      </w:r>
      <w:r w:rsidRPr="009F1FFF">
        <w:rPr>
          <w:rStyle w:val="hps"/>
          <w:lang w:val="en-US"/>
        </w:rPr>
        <w:t>Panel</w:t>
      </w:r>
      <w:r w:rsidRPr="009F1FFF">
        <w:rPr>
          <w:lang w:val="en-US"/>
        </w:rPr>
        <w:t xml:space="preserve"> </w:t>
      </w:r>
      <w:r w:rsidRPr="009F1FFF">
        <w:rPr>
          <w:rStyle w:val="hps"/>
          <w:lang w:val="en-US"/>
        </w:rPr>
        <w:t>Data</w:t>
      </w:r>
      <w:r w:rsidRPr="009F1FFF">
        <w:rPr>
          <w:lang w:val="en-US"/>
        </w:rPr>
        <w:t xml:space="preserve"> </w:t>
      </w:r>
      <w:r w:rsidRPr="009F1FFF">
        <w:rPr>
          <w:rStyle w:val="hps"/>
          <w:lang w:val="en-US"/>
        </w:rPr>
        <w:t>Analysis</w:t>
      </w:r>
      <w:r w:rsidRPr="009F1FFF">
        <w:rPr>
          <w:lang w:val="en-US"/>
        </w:rPr>
        <w:t xml:space="preserve">. </w:t>
      </w:r>
      <w:r w:rsidRPr="009F1FFF">
        <w:rPr>
          <w:rStyle w:val="hps"/>
          <w:lang w:val="en-US"/>
        </w:rPr>
        <w:t>The result of analysis</w:t>
      </w:r>
      <w:r w:rsidRPr="009F1FFF">
        <w:rPr>
          <w:lang w:val="en-US"/>
        </w:rPr>
        <w:t xml:space="preserve"> </w:t>
      </w:r>
      <w:r w:rsidRPr="009F1FFF">
        <w:rPr>
          <w:rStyle w:val="hps"/>
          <w:lang w:val="en-US"/>
        </w:rPr>
        <w:t>of</w:t>
      </w:r>
      <w:r w:rsidRPr="009F1FFF">
        <w:rPr>
          <w:lang w:val="en-US"/>
        </w:rPr>
        <w:t xml:space="preserve"> </w:t>
      </w:r>
      <w:r w:rsidRPr="009F1FFF">
        <w:rPr>
          <w:rStyle w:val="hps"/>
          <w:lang w:val="en-US"/>
        </w:rPr>
        <w:t>energy consumption and</w:t>
      </w:r>
      <w:r w:rsidRPr="009F1FFF">
        <w:rPr>
          <w:lang w:val="en-US"/>
        </w:rPr>
        <w:t xml:space="preserve"> </w:t>
      </w:r>
      <w:r w:rsidRPr="009F1FFF">
        <w:rPr>
          <w:rStyle w:val="hps"/>
          <w:lang w:val="en-US"/>
        </w:rPr>
        <w:t>economic growth</w:t>
      </w:r>
      <w:r w:rsidRPr="009F1FFF">
        <w:rPr>
          <w:lang w:val="en-US"/>
        </w:rPr>
        <w:t xml:space="preserve"> </w:t>
      </w:r>
      <w:r w:rsidRPr="009F1FFF">
        <w:rPr>
          <w:rStyle w:val="hps"/>
          <w:lang w:val="en-US"/>
        </w:rPr>
        <w:t>in these countries</w:t>
      </w:r>
      <w:r w:rsidRPr="009F1FFF">
        <w:rPr>
          <w:lang w:val="en-US"/>
        </w:rPr>
        <w:t xml:space="preserve"> </w:t>
      </w:r>
      <w:r w:rsidRPr="009F1FFF">
        <w:rPr>
          <w:rStyle w:val="hps"/>
          <w:lang w:val="en-US"/>
        </w:rPr>
        <w:t>is a remarkable</w:t>
      </w:r>
      <w:r w:rsidRPr="009F1FFF">
        <w:rPr>
          <w:lang w:val="en-US"/>
        </w:rPr>
        <w:t xml:space="preserve"> </w:t>
      </w:r>
      <w:r w:rsidRPr="009F1FFF">
        <w:rPr>
          <w:rStyle w:val="hps"/>
          <w:lang w:val="en-US"/>
        </w:rPr>
        <w:t>relationship between variables.</w:t>
      </w:r>
    </w:p>
    <w:p w:rsidR="009F1FFF" w:rsidRPr="009F1FFF" w:rsidRDefault="009F1FFF" w:rsidP="009F1FFF">
      <w:pPr>
        <w:spacing w:after="120"/>
        <w:jc w:val="both"/>
        <w:rPr>
          <w:lang w:val="en-US"/>
        </w:rPr>
      </w:pPr>
      <w:r w:rsidRPr="009F1FFF">
        <w:rPr>
          <w:rStyle w:val="hps"/>
          <w:lang w:val="en-US"/>
        </w:rPr>
        <w:t>Kerimoğlu</w:t>
      </w:r>
      <w:r w:rsidRPr="009F1FFF">
        <w:rPr>
          <w:lang w:val="en-US"/>
        </w:rPr>
        <w:t xml:space="preserve"> </w:t>
      </w:r>
      <w:r w:rsidRPr="009F1FFF">
        <w:rPr>
          <w:rStyle w:val="hps"/>
          <w:lang w:val="en-US"/>
        </w:rPr>
        <w:t>and</w:t>
      </w:r>
      <w:r w:rsidRPr="009F1FFF">
        <w:rPr>
          <w:lang w:val="en-US"/>
        </w:rPr>
        <w:t xml:space="preserve"> </w:t>
      </w:r>
      <w:r w:rsidRPr="009F1FFF">
        <w:rPr>
          <w:rStyle w:val="hps"/>
          <w:lang w:val="en-US"/>
        </w:rPr>
        <w:t>Yanar</w:t>
      </w:r>
      <w:r w:rsidRPr="009F1FFF">
        <w:rPr>
          <w:lang w:val="en-US"/>
        </w:rPr>
        <w:t xml:space="preserve"> </w:t>
      </w:r>
      <w:r w:rsidRPr="009F1FFF">
        <w:rPr>
          <w:rStyle w:val="hps"/>
          <w:lang w:val="en-US"/>
        </w:rPr>
        <w:t>(2011)</w:t>
      </w:r>
      <w:r w:rsidRPr="009F1FFF">
        <w:rPr>
          <w:lang w:val="en-US"/>
        </w:rPr>
        <w:t xml:space="preserve">, </w:t>
      </w:r>
      <w:r w:rsidRPr="009F1FFF">
        <w:rPr>
          <w:rStyle w:val="hps"/>
          <w:lang w:val="en-US"/>
        </w:rPr>
        <w:t>examined to the between Turkey's energy</w:t>
      </w:r>
      <w:r w:rsidRPr="009F1FFF">
        <w:rPr>
          <w:lang w:val="en-US"/>
        </w:rPr>
        <w:t xml:space="preserve"> </w:t>
      </w:r>
      <w:r w:rsidRPr="009F1FFF">
        <w:rPr>
          <w:rStyle w:val="hps"/>
          <w:lang w:val="en-US"/>
        </w:rPr>
        <w:t>consumption</w:t>
      </w:r>
      <w:r w:rsidRPr="009F1FFF">
        <w:rPr>
          <w:lang w:val="en-US"/>
        </w:rPr>
        <w:t xml:space="preserve">, economic growth and </w:t>
      </w:r>
      <w:r w:rsidRPr="009F1FFF">
        <w:rPr>
          <w:rStyle w:val="hps"/>
          <w:lang w:val="en-US"/>
        </w:rPr>
        <w:t>the current account deficit</w:t>
      </w:r>
      <w:r w:rsidRPr="009F1FFF">
        <w:rPr>
          <w:lang w:val="en-US"/>
        </w:rPr>
        <w:t xml:space="preserve"> </w:t>
      </w:r>
      <w:r w:rsidRPr="009F1FFF">
        <w:rPr>
          <w:rStyle w:val="hps"/>
          <w:lang w:val="en-US"/>
        </w:rPr>
        <w:t>with using</w:t>
      </w:r>
      <w:r w:rsidRPr="009F1FFF">
        <w:rPr>
          <w:lang w:val="en-US"/>
        </w:rPr>
        <w:t xml:space="preserve"> </w:t>
      </w:r>
      <w:r w:rsidRPr="009F1FFF">
        <w:rPr>
          <w:rStyle w:val="hps"/>
          <w:lang w:val="en-US"/>
        </w:rPr>
        <w:t>the co-integration</w:t>
      </w:r>
      <w:r w:rsidRPr="009F1FFF">
        <w:rPr>
          <w:lang w:val="en-US"/>
        </w:rPr>
        <w:t xml:space="preserve"> </w:t>
      </w:r>
      <w:r w:rsidRPr="009F1FFF">
        <w:rPr>
          <w:rStyle w:val="hps"/>
          <w:lang w:val="en-US"/>
        </w:rPr>
        <w:t>test</w:t>
      </w:r>
      <w:r w:rsidRPr="009F1FFF">
        <w:rPr>
          <w:lang w:val="en-US"/>
        </w:rPr>
        <w:t xml:space="preserve">.  </w:t>
      </w:r>
      <w:r w:rsidRPr="009F1FFF">
        <w:rPr>
          <w:rStyle w:val="hps"/>
          <w:lang w:val="en-US"/>
        </w:rPr>
        <w:t>As a result of</w:t>
      </w:r>
      <w:r w:rsidRPr="009F1FFF">
        <w:rPr>
          <w:lang w:val="en-US"/>
        </w:rPr>
        <w:t xml:space="preserve"> </w:t>
      </w:r>
      <w:r w:rsidRPr="009F1FFF">
        <w:rPr>
          <w:rStyle w:val="hps"/>
          <w:lang w:val="en-US"/>
        </w:rPr>
        <w:t>analysis</w:t>
      </w:r>
      <w:r w:rsidRPr="009F1FFF">
        <w:rPr>
          <w:lang w:val="en-US"/>
        </w:rPr>
        <w:t>,</w:t>
      </w:r>
      <w:r w:rsidRPr="009F1FFF">
        <w:rPr>
          <w:rStyle w:val="hps"/>
          <w:lang w:val="en-US"/>
        </w:rPr>
        <w:t xml:space="preserve"> increase in</w:t>
      </w:r>
      <w:r w:rsidRPr="009F1FFF">
        <w:rPr>
          <w:lang w:val="en-US"/>
        </w:rPr>
        <w:t xml:space="preserve"> </w:t>
      </w:r>
      <w:r w:rsidRPr="009F1FFF">
        <w:rPr>
          <w:rStyle w:val="hps"/>
          <w:lang w:val="en-US"/>
        </w:rPr>
        <w:t>energy consumption</w:t>
      </w:r>
      <w:r w:rsidRPr="009F1FFF">
        <w:rPr>
          <w:lang w:val="en-US"/>
        </w:rPr>
        <w:t xml:space="preserve"> </w:t>
      </w:r>
      <w:r w:rsidRPr="009F1FFF">
        <w:rPr>
          <w:rStyle w:val="hps"/>
          <w:lang w:val="en-US"/>
        </w:rPr>
        <w:t>affects the</w:t>
      </w:r>
      <w:r w:rsidRPr="009F1FFF">
        <w:rPr>
          <w:lang w:val="en-US"/>
        </w:rPr>
        <w:t xml:space="preserve"> </w:t>
      </w:r>
      <w:r w:rsidRPr="009F1FFF">
        <w:rPr>
          <w:rStyle w:val="hps"/>
          <w:lang w:val="en-US"/>
        </w:rPr>
        <w:t>high rate of</w:t>
      </w:r>
      <w:r w:rsidRPr="009F1FFF">
        <w:rPr>
          <w:lang w:val="en-US"/>
        </w:rPr>
        <w:t xml:space="preserve"> </w:t>
      </w:r>
      <w:r w:rsidRPr="009F1FFF">
        <w:rPr>
          <w:rStyle w:val="hps"/>
          <w:lang w:val="en-US"/>
        </w:rPr>
        <w:t>GDP</w:t>
      </w:r>
      <w:r w:rsidRPr="009F1FFF">
        <w:rPr>
          <w:lang w:val="en-US"/>
        </w:rPr>
        <w:t xml:space="preserve">. </w:t>
      </w:r>
      <w:r w:rsidRPr="009F1FFF">
        <w:rPr>
          <w:rStyle w:val="hps"/>
          <w:lang w:val="en-US"/>
        </w:rPr>
        <w:t>Also</w:t>
      </w:r>
      <w:r w:rsidRPr="009F1FFF">
        <w:rPr>
          <w:lang w:val="en-US"/>
        </w:rPr>
        <w:t xml:space="preserve"> </w:t>
      </w:r>
      <w:r w:rsidRPr="009F1FFF">
        <w:rPr>
          <w:rStyle w:val="hps"/>
          <w:lang w:val="en-US"/>
        </w:rPr>
        <w:t>in this study</w:t>
      </w:r>
      <w:r w:rsidRPr="009F1FFF">
        <w:rPr>
          <w:lang w:val="en-US"/>
        </w:rPr>
        <w:t xml:space="preserve"> was found bi-directional causality</w:t>
      </w:r>
      <w:r w:rsidRPr="009F1FFF">
        <w:rPr>
          <w:rStyle w:val="hps"/>
          <w:lang w:val="en-US"/>
        </w:rPr>
        <w:t xml:space="preserve"> growth</w:t>
      </w:r>
      <w:r w:rsidRPr="009F1FFF">
        <w:rPr>
          <w:lang w:val="en-US"/>
        </w:rPr>
        <w:t xml:space="preserve"> </w:t>
      </w:r>
      <w:r w:rsidRPr="009F1FFF">
        <w:rPr>
          <w:rStyle w:val="hps"/>
          <w:lang w:val="en-US"/>
        </w:rPr>
        <w:t>and current account deficit</w:t>
      </w:r>
      <w:r w:rsidRPr="009F1FFF">
        <w:rPr>
          <w:lang w:val="en-US"/>
        </w:rPr>
        <w:t xml:space="preserve"> </w:t>
      </w:r>
      <w:r w:rsidRPr="009F1FFF">
        <w:rPr>
          <w:rStyle w:val="hps"/>
          <w:lang w:val="en-US"/>
        </w:rPr>
        <w:t>but correlation</w:t>
      </w:r>
      <w:r w:rsidRPr="009F1FFF">
        <w:rPr>
          <w:lang w:val="en-US"/>
        </w:rPr>
        <w:t xml:space="preserve"> was weak.</w:t>
      </w:r>
    </w:p>
    <w:p w:rsidR="009F1FFF" w:rsidRDefault="009F1FFF" w:rsidP="009F1FFF">
      <w:pPr>
        <w:spacing w:after="120"/>
        <w:jc w:val="both"/>
        <w:rPr>
          <w:lang w:val="en-US"/>
        </w:rPr>
      </w:pPr>
      <w:r w:rsidRPr="009F1FFF">
        <w:rPr>
          <w:rStyle w:val="hps"/>
          <w:lang w:val="en-US"/>
        </w:rPr>
        <w:lastRenderedPageBreak/>
        <w:t>Yapraklı and</w:t>
      </w:r>
      <w:r w:rsidRPr="009F1FFF">
        <w:rPr>
          <w:lang w:val="en-US"/>
        </w:rPr>
        <w:t xml:space="preserve"> </w:t>
      </w:r>
      <w:r w:rsidRPr="009F1FFF">
        <w:rPr>
          <w:rStyle w:val="hps"/>
          <w:lang w:val="en-US"/>
        </w:rPr>
        <w:t>Yurttançıkmaz</w:t>
      </w:r>
      <w:r w:rsidRPr="009F1FFF">
        <w:rPr>
          <w:lang w:val="en-US"/>
        </w:rPr>
        <w:t xml:space="preserve"> </w:t>
      </w:r>
      <w:r w:rsidRPr="009F1FFF">
        <w:rPr>
          <w:rStyle w:val="hps"/>
          <w:lang w:val="en-US"/>
        </w:rPr>
        <w:t>(2012)</w:t>
      </w:r>
      <w:r w:rsidRPr="009F1FFF">
        <w:rPr>
          <w:lang w:val="en-US"/>
        </w:rPr>
        <w:t xml:space="preserve">, </w:t>
      </w:r>
      <w:r w:rsidRPr="009F1FFF">
        <w:rPr>
          <w:rStyle w:val="hps"/>
          <w:lang w:val="en-US"/>
        </w:rPr>
        <w:t>studies</w:t>
      </w:r>
      <w:r w:rsidRPr="009F1FFF">
        <w:rPr>
          <w:lang w:val="en-US"/>
        </w:rPr>
        <w:t xml:space="preserve"> </w:t>
      </w:r>
      <w:r w:rsidRPr="009F1FFF">
        <w:rPr>
          <w:rStyle w:val="hps"/>
          <w:lang w:val="en-US"/>
        </w:rPr>
        <w:t>in Turkey</w:t>
      </w:r>
      <w:r w:rsidRPr="009F1FFF">
        <w:rPr>
          <w:lang w:val="en-US"/>
        </w:rPr>
        <w:t xml:space="preserve"> </w:t>
      </w:r>
      <w:r w:rsidRPr="009F1FFF">
        <w:rPr>
          <w:rStyle w:val="hps"/>
          <w:lang w:val="en-US"/>
        </w:rPr>
        <w:t>for the period</w:t>
      </w:r>
      <w:r w:rsidRPr="009F1FFF">
        <w:rPr>
          <w:lang w:val="en-US"/>
        </w:rPr>
        <w:t xml:space="preserve"> </w:t>
      </w:r>
      <w:r w:rsidRPr="009F1FFF">
        <w:rPr>
          <w:rStyle w:val="hps"/>
          <w:lang w:val="en-US"/>
        </w:rPr>
        <w:t>1970-2010</w:t>
      </w:r>
      <w:r w:rsidRPr="009F1FFF">
        <w:rPr>
          <w:lang w:val="en-US"/>
        </w:rPr>
        <w:t xml:space="preserve">, the relationship between total </w:t>
      </w:r>
      <w:r w:rsidRPr="009F1FFF">
        <w:rPr>
          <w:rStyle w:val="hps"/>
          <w:lang w:val="en-US"/>
        </w:rPr>
        <w:t>electricity consumption and economic</w:t>
      </w:r>
      <w:r w:rsidRPr="009F1FFF">
        <w:rPr>
          <w:lang w:val="en-US"/>
        </w:rPr>
        <w:t xml:space="preserve"> </w:t>
      </w:r>
      <w:r w:rsidRPr="009F1FFF">
        <w:rPr>
          <w:rStyle w:val="hps"/>
          <w:lang w:val="en-US"/>
        </w:rPr>
        <w:t>growth have been analyzed with the</w:t>
      </w:r>
      <w:r w:rsidRPr="009F1FFF">
        <w:rPr>
          <w:lang w:val="en-US"/>
        </w:rPr>
        <w:t xml:space="preserve"> </w:t>
      </w:r>
      <w:r w:rsidRPr="009F1FFF">
        <w:rPr>
          <w:rStyle w:val="hpsatn"/>
          <w:lang w:val="en-US"/>
        </w:rPr>
        <w:t>co-</w:t>
      </w:r>
      <w:r w:rsidRPr="009F1FFF">
        <w:rPr>
          <w:lang w:val="en-US"/>
        </w:rPr>
        <w:t xml:space="preserve">integration and </w:t>
      </w:r>
      <w:r w:rsidRPr="009F1FFF">
        <w:rPr>
          <w:rStyle w:val="hps"/>
          <w:lang w:val="en-US"/>
        </w:rPr>
        <w:t>error</w:t>
      </w:r>
      <w:r w:rsidRPr="009F1FFF">
        <w:rPr>
          <w:lang w:val="en-US"/>
        </w:rPr>
        <w:t xml:space="preserve"> </w:t>
      </w:r>
      <w:r w:rsidRPr="009F1FFF">
        <w:rPr>
          <w:rStyle w:val="hps"/>
          <w:lang w:val="en-US"/>
        </w:rPr>
        <w:t>correction</w:t>
      </w:r>
      <w:r w:rsidRPr="009F1FFF">
        <w:rPr>
          <w:lang w:val="en-US"/>
        </w:rPr>
        <w:t xml:space="preserve"> </w:t>
      </w:r>
      <w:r w:rsidRPr="009F1FFF">
        <w:rPr>
          <w:rStyle w:val="hps"/>
          <w:lang w:val="en-US"/>
        </w:rPr>
        <w:t>test</w:t>
      </w:r>
      <w:r w:rsidRPr="009F1FFF">
        <w:rPr>
          <w:lang w:val="en-US"/>
        </w:rPr>
        <w:t xml:space="preserve">. </w:t>
      </w:r>
      <w:r w:rsidRPr="009F1FFF">
        <w:rPr>
          <w:rStyle w:val="hps"/>
          <w:lang w:val="en-US"/>
        </w:rPr>
        <w:t>As a result of</w:t>
      </w:r>
      <w:r w:rsidRPr="009F1FFF">
        <w:rPr>
          <w:lang w:val="en-US"/>
        </w:rPr>
        <w:t xml:space="preserve"> </w:t>
      </w:r>
      <w:r w:rsidRPr="009F1FFF">
        <w:rPr>
          <w:rStyle w:val="hps"/>
          <w:lang w:val="en-US"/>
        </w:rPr>
        <w:t>analysis,</w:t>
      </w:r>
      <w:r w:rsidRPr="009F1FFF">
        <w:rPr>
          <w:lang w:val="en-US"/>
        </w:rPr>
        <w:t xml:space="preserve"> </w:t>
      </w:r>
      <w:r w:rsidRPr="009F1FFF">
        <w:rPr>
          <w:rStyle w:val="hps"/>
          <w:lang w:val="en-US"/>
        </w:rPr>
        <w:t>bi-directional causality</w:t>
      </w:r>
      <w:r w:rsidRPr="009F1FFF">
        <w:rPr>
          <w:lang w:val="en-US"/>
        </w:rPr>
        <w:t xml:space="preserve"> </w:t>
      </w:r>
      <w:r w:rsidRPr="009F1FFF">
        <w:rPr>
          <w:rStyle w:val="hps"/>
          <w:lang w:val="en-US"/>
        </w:rPr>
        <w:t>between</w:t>
      </w:r>
      <w:r w:rsidRPr="009F1FFF">
        <w:rPr>
          <w:lang w:val="en-US"/>
        </w:rPr>
        <w:t xml:space="preserve"> </w:t>
      </w:r>
      <w:r w:rsidRPr="009F1FFF">
        <w:rPr>
          <w:rStyle w:val="hps"/>
          <w:lang w:val="en-US"/>
        </w:rPr>
        <w:t>electricity consumption and economic</w:t>
      </w:r>
      <w:r w:rsidRPr="009F1FFF">
        <w:rPr>
          <w:lang w:val="en-US"/>
        </w:rPr>
        <w:t xml:space="preserve"> </w:t>
      </w:r>
      <w:r w:rsidRPr="009F1FFF">
        <w:rPr>
          <w:rStyle w:val="hps"/>
          <w:lang w:val="en-US"/>
        </w:rPr>
        <w:t>growth</w:t>
      </w:r>
      <w:r w:rsidRPr="009F1FFF">
        <w:rPr>
          <w:lang w:val="en-US"/>
        </w:rPr>
        <w:t xml:space="preserve"> </w:t>
      </w:r>
      <w:r w:rsidR="004654E9" w:rsidRPr="009F1FFF">
        <w:rPr>
          <w:rStyle w:val="hps"/>
          <w:lang w:val="en-US"/>
        </w:rPr>
        <w:t>has</w:t>
      </w:r>
      <w:r w:rsidRPr="009F1FFF">
        <w:rPr>
          <w:rStyle w:val="hps"/>
          <w:lang w:val="en-US"/>
        </w:rPr>
        <w:t xml:space="preserve"> been concluded.</w:t>
      </w:r>
      <w:r w:rsidRPr="009F1FFF">
        <w:rPr>
          <w:lang w:val="en-US"/>
        </w:rPr>
        <w:t xml:space="preserve"> </w:t>
      </w:r>
    </w:p>
    <w:p w:rsidR="004654E9" w:rsidRDefault="004654E9" w:rsidP="009F1FFF">
      <w:pPr>
        <w:spacing w:after="120"/>
        <w:jc w:val="both"/>
        <w:rPr>
          <w:lang w:val="en-US"/>
        </w:rPr>
      </w:pPr>
    </w:p>
    <w:p w:rsidR="004654E9" w:rsidRPr="004654E9" w:rsidRDefault="009F1FFF" w:rsidP="009F1FFF">
      <w:pPr>
        <w:spacing w:after="120"/>
        <w:jc w:val="both"/>
        <w:rPr>
          <w:b/>
          <w:bCs/>
          <w:lang w:val="en-US"/>
        </w:rPr>
      </w:pPr>
      <w:r w:rsidRPr="004654E9">
        <w:rPr>
          <w:rStyle w:val="Gl"/>
          <w:lang w:val="en-US"/>
        </w:rPr>
        <w:t>Turkey’s Energy Profile and Strategy</w:t>
      </w:r>
    </w:p>
    <w:p w:rsidR="009F1FFF" w:rsidRPr="004654E9" w:rsidRDefault="009F1FFF" w:rsidP="009F1FFF">
      <w:pPr>
        <w:spacing w:after="120"/>
        <w:jc w:val="both"/>
        <w:rPr>
          <w:lang w:val="en-US"/>
        </w:rPr>
      </w:pPr>
      <w:r w:rsidRPr="004654E9">
        <w:rPr>
          <w:lang w:val="en-US"/>
        </w:rPr>
        <w:t>Turkey is a developing countr</w:t>
      </w:r>
      <w:r w:rsidR="004654E9" w:rsidRPr="004654E9">
        <w:rPr>
          <w:lang w:val="en-US"/>
        </w:rPr>
        <w:t>y</w:t>
      </w:r>
      <w:r w:rsidRPr="004654E9">
        <w:rPr>
          <w:lang w:val="en-US"/>
        </w:rPr>
        <w:t xml:space="preserve"> so energy needs to be increases. The relative insufficiency of the domestic resources of our country especially in terms of oil and natural gas in proportion to the rising energy demand in our country brings about the importation of oil and natural gas. In the year 2008 the total primary energy consumption of our country has been 106,</w:t>
      </w:r>
      <w:r w:rsidR="004654E9">
        <w:rPr>
          <w:lang w:val="en-US"/>
        </w:rPr>
        <w:t xml:space="preserve"> </w:t>
      </w:r>
      <w:r w:rsidRPr="004654E9">
        <w:rPr>
          <w:lang w:val="en-US"/>
        </w:rPr>
        <w:t>3 million Ton Equivalent Petroleum (TEP), and its production has been 29,</w:t>
      </w:r>
      <w:r w:rsidR="004654E9">
        <w:rPr>
          <w:lang w:val="en-US"/>
        </w:rPr>
        <w:t xml:space="preserve"> </w:t>
      </w:r>
      <w:r w:rsidRPr="004654E9">
        <w:rPr>
          <w:lang w:val="en-US"/>
        </w:rPr>
        <w:t>2 million TEP (EB, 2010:12).</w:t>
      </w:r>
    </w:p>
    <w:p w:rsidR="009F1FFF" w:rsidRPr="009F1FFF" w:rsidRDefault="009F1FFF" w:rsidP="009F1FFF">
      <w:pPr>
        <w:jc w:val="center"/>
        <w:rPr>
          <w:lang w:val="en-US"/>
        </w:rPr>
      </w:pPr>
    </w:p>
    <w:p w:rsidR="009F1FFF" w:rsidRDefault="004654E9" w:rsidP="009F1FFF">
      <w:pPr>
        <w:jc w:val="center"/>
        <w:rPr>
          <w:lang w:val="en-US"/>
        </w:rPr>
      </w:pPr>
      <w:r>
        <w:rPr>
          <w:lang w:val="en-US"/>
        </w:rPr>
        <w:t>Table 1</w:t>
      </w:r>
      <w:r w:rsidR="009F1FFF" w:rsidRPr="009F1FFF">
        <w:rPr>
          <w:lang w:val="en-US"/>
        </w:rPr>
        <w:t xml:space="preserve"> Energy Supply and Demand of Turkey (2008) (Keskin, 2010: 14)</w:t>
      </w:r>
    </w:p>
    <w:p w:rsidR="004654E9" w:rsidRPr="009F1FFF" w:rsidRDefault="004654E9" w:rsidP="009F1FFF">
      <w:pPr>
        <w:jc w:val="center"/>
        <w:rPr>
          <w:lang w:val="en-US"/>
        </w:rPr>
      </w:pPr>
    </w:p>
    <w:tbl>
      <w:tblPr>
        <w:tblStyle w:val="AkGlgeleme"/>
        <w:tblW w:w="0" w:type="auto"/>
        <w:jc w:val="center"/>
        <w:tblLook w:val="01E0" w:firstRow="1" w:lastRow="1" w:firstColumn="1" w:lastColumn="1" w:noHBand="0" w:noVBand="0"/>
      </w:tblPr>
      <w:tblGrid>
        <w:gridCol w:w="1943"/>
        <w:gridCol w:w="711"/>
        <w:gridCol w:w="711"/>
        <w:gridCol w:w="934"/>
        <w:gridCol w:w="909"/>
        <w:gridCol w:w="676"/>
        <w:gridCol w:w="621"/>
        <w:gridCol w:w="1076"/>
        <w:gridCol w:w="621"/>
        <w:gridCol w:w="801"/>
      </w:tblGrid>
      <w:tr w:rsidR="009F1FFF" w:rsidRPr="009F1FFF" w:rsidTr="004654E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F1FFF" w:rsidRPr="009F1FFF" w:rsidRDefault="009F1FFF" w:rsidP="001B4C2A">
            <w:pPr>
              <w:jc w:val="center"/>
              <w:rPr>
                <w:b w:val="0"/>
                <w:i/>
                <w:sz w:val="18"/>
                <w:szCs w:val="18"/>
                <w:lang w:val="en-US"/>
              </w:rPr>
            </w:pPr>
            <w:r w:rsidRPr="009F1FFF">
              <w:rPr>
                <w:b w:val="0"/>
                <w:i/>
                <w:sz w:val="18"/>
                <w:szCs w:val="18"/>
                <w:lang w:val="en-US"/>
              </w:rPr>
              <w:t>Resources</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tcPr>
          <w:p w:rsidR="009F1FFF" w:rsidRPr="009F1FFF" w:rsidRDefault="009F1FFF" w:rsidP="001B4C2A">
            <w:pPr>
              <w:jc w:val="center"/>
              <w:rPr>
                <w:b w:val="0"/>
                <w:i/>
                <w:sz w:val="18"/>
                <w:szCs w:val="18"/>
                <w:lang w:val="en-US"/>
              </w:rPr>
            </w:pPr>
            <w:r w:rsidRPr="009F1FFF">
              <w:rPr>
                <w:b w:val="0"/>
                <w:i/>
                <w:sz w:val="18"/>
                <w:szCs w:val="18"/>
                <w:lang w:val="en-US"/>
              </w:rPr>
              <w:t>Coal</w:t>
            </w:r>
          </w:p>
        </w:tc>
        <w:tc>
          <w:tcPr>
            <w:tcW w:w="0" w:type="auto"/>
            <w:shd w:val="clear" w:color="auto" w:fill="auto"/>
          </w:tcPr>
          <w:p w:rsidR="009F1FFF" w:rsidRPr="009F1FFF" w:rsidRDefault="009F1FFF" w:rsidP="001B4C2A">
            <w:pPr>
              <w:jc w:val="center"/>
              <w:cnfStyle w:val="100000000000" w:firstRow="1" w:lastRow="0" w:firstColumn="0" w:lastColumn="0" w:oddVBand="0" w:evenVBand="0" w:oddHBand="0" w:evenHBand="0" w:firstRowFirstColumn="0" w:firstRowLastColumn="0" w:lastRowFirstColumn="0" w:lastRowLastColumn="0"/>
              <w:rPr>
                <w:b w:val="0"/>
                <w:i/>
                <w:sz w:val="18"/>
                <w:szCs w:val="18"/>
                <w:lang w:val="en-US"/>
              </w:rPr>
            </w:pPr>
            <w:r w:rsidRPr="009F1FFF">
              <w:rPr>
                <w:b w:val="0"/>
                <w:i/>
                <w:sz w:val="18"/>
                <w:szCs w:val="18"/>
                <w:lang w:val="en-US"/>
              </w:rPr>
              <w:t>Oil</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tcPr>
          <w:p w:rsidR="009F1FFF" w:rsidRPr="009F1FFF" w:rsidRDefault="009F1FFF" w:rsidP="001B4C2A">
            <w:pPr>
              <w:jc w:val="center"/>
              <w:rPr>
                <w:b w:val="0"/>
                <w:i/>
                <w:sz w:val="18"/>
                <w:szCs w:val="18"/>
                <w:lang w:val="en-US"/>
              </w:rPr>
            </w:pPr>
            <w:r w:rsidRPr="009F1FFF">
              <w:rPr>
                <w:b w:val="0"/>
                <w:i/>
                <w:sz w:val="18"/>
                <w:szCs w:val="18"/>
                <w:lang w:val="en-US"/>
              </w:rPr>
              <w:t>Natural Gas</w:t>
            </w:r>
          </w:p>
        </w:tc>
        <w:tc>
          <w:tcPr>
            <w:tcW w:w="0" w:type="auto"/>
            <w:shd w:val="clear" w:color="auto" w:fill="auto"/>
          </w:tcPr>
          <w:p w:rsidR="009F1FFF" w:rsidRPr="009F1FFF" w:rsidRDefault="009F1FFF" w:rsidP="001B4C2A">
            <w:pPr>
              <w:jc w:val="center"/>
              <w:cnfStyle w:val="100000000000" w:firstRow="1" w:lastRow="0" w:firstColumn="0" w:lastColumn="0" w:oddVBand="0" w:evenVBand="0" w:oddHBand="0" w:evenHBand="0" w:firstRowFirstColumn="0" w:firstRowLastColumn="0" w:lastRowFirstColumn="0" w:lastRowLastColumn="0"/>
              <w:rPr>
                <w:b w:val="0"/>
                <w:i/>
                <w:sz w:val="18"/>
                <w:szCs w:val="18"/>
                <w:lang w:val="en-US"/>
              </w:rPr>
            </w:pPr>
            <w:r w:rsidRPr="009F1FFF">
              <w:rPr>
                <w:b w:val="0"/>
                <w:i/>
                <w:sz w:val="18"/>
                <w:szCs w:val="18"/>
                <w:lang w:val="en-US"/>
              </w:rPr>
              <w:t>Wood, Waste</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tcPr>
          <w:p w:rsidR="009F1FFF" w:rsidRPr="009F1FFF" w:rsidRDefault="009F1FFF" w:rsidP="001B4C2A">
            <w:pPr>
              <w:jc w:val="center"/>
              <w:rPr>
                <w:b w:val="0"/>
                <w:i/>
                <w:sz w:val="18"/>
                <w:szCs w:val="18"/>
                <w:lang w:val="en-US"/>
              </w:rPr>
            </w:pPr>
            <w:r w:rsidRPr="009F1FFF">
              <w:rPr>
                <w:b w:val="0"/>
                <w:i/>
                <w:sz w:val="18"/>
                <w:szCs w:val="18"/>
                <w:lang w:val="en-US"/>
              </w:rPr>
              <w:t>Hydro</w:t>
            </w:r>
          </w:p>
        </w:tc>
        <w:tc>
          <w:tcPr>
            <w:tcW w:w="0" w:type="auto"/>
            <w:shd w:val="clear" w:color="auto" w:fill="auto"/>
          </w:tcPr>
          <w:p w:rsidR="009F1FFF" w:rsidRPr="009F1FFF" w:rsidRDefault="009F1FFF" w:rsidP="001B4C2A">
            <w:pPr>
              <w:jc w:val="center"/>
              <w:cnfStyle w:val="100000000000" w:firstRow="1" w:lastRow="0" w:firstColumn="0" w:lastColumn="0" w:oddVBand="0" w:evenVBand="0" w:oddHBand="0" w:evenHBand="0" w:firstRowFirstColumn="0" w:firstRowLastColumn="0" w:lastRowFirstColumn="0" w:lastRowLastColumn="0"/>
              <w:rPr>
                <w:b w:val="0"/>
                <w:i/>
                <w:sz w:val="18"/>
                <w:szCs w:val="18"/>
                <w:lang w:val="en-US"/>
              </w:rPr>
            </w:pPr>
            <w:r w:rsidRPr="009F1FFF">
              <w:rPr>
                <w:b w:val="0"/>
                <w:i/>
                <w:sz w:val="18"/>
                <w:szCs w:val="18"/>
                <w:lang w:val="en-US"/>
              </w:rPr>
              <w:t>Wind</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tcPr>
          <w:p w:rsidR="009F1FFF" w:rsidRPr="009F1FFF" w:rsidRDefault="009F1FFF" w:rsidP="001B4C2A">
            <w:pPr>
              <w:jc w:val="center"/>
              <w:rPr>
                <w:b w:val="0"/>
                <w:i/>
                <w:sz w:val="18"/>
                <w:szCs w:val="18"/>
                <w:lang w:val="en-US"/>
              </w:rPr>
            </w:pPr>
            <w:r w:rsidRPr="009F1FFF">
              <w:rPr>
                <w:b w:val="0"/>
                <w:i/>
                <w:sz w:val="18"/>
                <w:szCs w:val="18"/>
                <w:lang w:val="en-US"/>
              </w:rPr>
              <w:t>Geothermat</w:t>
            </w:r>
          </w:p>
        </w:tc>
        <w:tc>
          <w:tcPr>
            <w:tcW w:w="0" w:type="auto"/>
            <w:shd w:val="clear" w:color="auto" w:fill="auto"/>
          </w:tcPr>
          <w:p w:rsidR="009F1FFF" w:rsidRPr="009F1FFF" w:rsidRDefault="009F1FFF" w:rsidP="001B4C2A">
            <w:pPr>
              <w:jc w:val="center"/>
              <w:cnfStyle w:val="100000000000" w:firstRow="1" w:lastRow="0" w:firstColumn="0" w:lastColumn="0" w:oddVBand="0" w:evenVBand="0" w:oddHBand="0" w:evenHBand="0" w:firstRowFirstColumn="0" w:firstRowLastColumn="0" w:lastRowFirstColumn="0" w:lastRowLastColumn="0"/>
              <w:rPr>
                <w:b w:val="0"/>
                <w:i/>
                <w:sz w:val="18"/>
                <w:szCs w:val="18"/>
                <w:lang w:val="en-US"/>
              </w:rPr>
            </w:pPr>
            <w:r w:rsidRPr="009F1FFF">
              <w:rPr>
                <w:b w:val="0"/>
                <w:i/>
                <w:sz w:val="18"/>
                <w:szCs w:val="18"/>
                <w:lang w:val="en-US"/>
              </w:rPr>
              <w:t>Sun</w:t>
            </w:r>
          </w:p>
        </w:tc>
        <w:tc>
          <w:tcPr>
            <w:cnfStyle w:val="000100000000" w:firstRow="0" w:lastRow="0" w:firstColumn="0" w:lastColumn="1" w:oddVBand="0" w:evenVBand="0" w:oddHBand="0" w:evenHBand="0" w:firstRowFirstColumn="0" w:firstRowLastColumn="0" w:lastRowFirstColumn="0" w:lastRowLastColumn="0"/>
            <w:tcW w:w="0" w:type="auto"/>
            <w:shd w:val="clear" w:color="auto" w:fill="auto"/>
          </w:tcPr>
          <w:p w:rsidR="009F1FFF" w:rsidRPr="009F1FFF" w:rsidRDefault="009F1FFF" w:rsidP="001B4C2A">
            <w:pPr>
              <w:jc w:val="center"/>
              <w:rPr>
                <w:b w:val="0"/>
                <w:i/>
                <w:sz w:val="18"/>
                <w:szCs w:val="18"/>
                <w:lang w:val="en-US"/>
              </w:rPr>
            </w:pPr>
            <w:r w:rsidRPr="009F1FFF">
              <w:rPr>
                <w:b w:val="0"/>
                <w:i/>
                <w:sz w:val="18"/>
                <w:szCs w:val="18"/>
                <w:lang w:val="en-US"/>
              </w:rPr>
              <w:t>Total</w:t>
            </w:r>
          </w:p>
          <w:p w:rsidR="009F1FFF" w:rsidRPr="009F1FFF" w:rsidRDefault="009F1FFF" w:rsidP="001B4C2A">
            <w:pPr>
              <w:jc w:val="center"/>
              <w:rPr>
                <w:b w:val="0"/>
                <w:i/>
                <w:sz w:val="18"/>
                <w:szCs w:val="18"/>
                <w:lang w:val="en-US"/>
              </w:rPr>
            </w:pPr>
            <w:r w:rsidRPr="009F1FFF">
              <w:rPr>
                <w:b w:val="0"/>
                <w:i/>
                <w:sz w:val="18"/>
                <w:szCs w:val="18"/>
                <w:lang w:val="en-US"/>
              </w:rPr>
              <w:t>(TEP)</w:t>
            </w:r>
          </w:p>
        </w:tc>
      </w:tr>
      <w:tr w:rsidR="004654E9" w:rsidRPr="009F1FFF" w:rsidTr="004654E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F1FFF" w:rsidRPr="009F1FFF" w:rsidRDefault="009F1FFF" w:rsidP="001B4C2A">
            <w:pPr>
              <w:jc w:val="center"/>
              <w:rPr>
                <w:sz w:val="18"/>
                <w:szCs w:val="18"/>
                <w:lang w:val="en-US"/>
              </w:rPr>
            </w:pPr>
            <w:r w:rsidRPr="009F1FFF">
              <w:rPr>
                <w:sz w:val="18"/>
                <w:szCs w:val="18"/>
                <w:lang w:val="en-US"/>
              </w:rPr>
              <w:t>Primary Energy Demand</w:t>
            </w:r>
          </w:p>
          <w:p w:rsidR="009F1FFF" w:rsidRPr="009F1FFF" w:rsidRDefault="009F1FFF" w:rsidP="001B4C2A">
            <w:pPr>
              <w:jc w:val="center"/>
              <w:rPr>
                <w:sz w:val="18"/>
                <w:szCs w:val="18"/>
                <w:lang w:val="en-US"/>
              </w:rPr>
            </w:pPr>
            <w:r w:rsidRPr="009F1FFF">
              <w:rPr>
                <w:sz w:val="18"/>
                <w:szCs w:val="18"/>
                <w:lang w:val="en-US"/>
              </w:rPr>
              <w:t>(000 Tep)</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tcPr>
          <w:p w:rsidR="009F1FFF" w:rsidRPr="009F1FFF" w:rsidRDefault="009F1FFF" w:rsidP="001B4C2A">
            <w:pPr>
              <w:jc w:val="center"/>
              <w:rPr>
                <w:sz w:val="18"/>
                <w:szCs w:val="18"/>
                <w:lang w:val="en-US"/>
              </w:rPr>
            </w:pPr>
            <w:r w:rsidRPr="009F1FFF">
              <w:rPr>
                <w:sz w:val="18"/>
                <w:szCs w:val="18"/>
                <w:lang w:val="en-US"/>
              </w:rPr>
              <w:t>31.391</w:t>
            </w:r>
          </w:p>
        </w:tc>
        <w:tc>
          <w:tcPr>
            <w:tcW w:w="0" w:type="auto"/>
            <w:shd w:val="clear" w:color="auto" w:fill="auto"/>
          </w:tcPr>
          <w:p w:rsidR="009F1FFF" w:rsidRPr="009F1FFF" w:rsidRDefault="009F1FFF" w:rsidP="001B4C2A">
            <w:pPr>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9F1FFF">
              <w:rPr>
                <w:sz w:val="18"/>
                <w:szCs w:val="18"/>
                <w:lang w:val="en-US"/>
              </w:rPr>
              <w:t>31.784</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tcPr>
          <w:p w:rsidR="009F1FFF" w:rsidRPr="009F1FFF" w:rsidRDefault="009F1FFF" w:rsidP="001B4C2A">
            <w:pPr>
              <w:jc w:val="center"/>
              <w:rPr>
                <w:sz w:val="18"/>
                <w:szCs w:val="18"/>
                <w:lang w:val="en-US"/>
              </w:rPr>
            </w:pPr>
            <w:r w:rsidRPr="009F1FFF">
              <w:rPr>
                <w:sz w:val="18"/>
                <w:szCs w:val="18"/>
                <w:lang w:val="en-US"/>
              </w:rPr>
              <w:t>33.807</w:t>
            </w:r>
          </w:p>
        </w:tc>
        <w:tc>
          <w:tcPr>
            <w:tcW w:w="0" w:type="auto"/>
            <w:shd w:val="clear" w:color="auto" w:fill="auto"/>
          </w:tcPr>
          <w:p w:rsidR="009F1FFF" w:rsidRPr="009F1FFF" w:rsidRDefault="009F1FFF" w:rsidP="001B4C2A">
            <w:pPr>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9F1FFF">
              <w:rPr>
                <w:sz w:val="18"/>
                <w:szCs w:val="18"/>
                <w:lang w:val="en-US"/>
              </w:rPr>
              <w:t>4.814</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tcPr>
          <w:p w:rsidR="009F1FFF" w:rsidRPr="009F1FFF" w:rsidRDefault="009F1FFF" w:rsidP="001B4C2A">
            <w:pPr>
              <w:jc w:val="center"/>
              <w:rPr>
                <w:sz w:val="18"/>
                <w:szCs w:val="18"/>
                <w:lang w:val="en-US"/>
              </w:rPr>
            </w:pPr>
            <w:r w:rsidRPr="009F1FFF">
              <w:rPr>
                <w:sz w:val="18"/>
                <w:szCs w:val="18"/>
                <w:lang w:val="en-US"/>
              </w:rPr>
              <w:t>2.861</w:t>
            </w:r>
          </w:p>
        </w:tc>
        <w:tc>
          <w:tcPr>
            <w:tcW w:w="0" w:type="auto"/>
            <w:shd w:val="clear" w:color="auto" w:fill="auto"/>
          </w:tcPr>
          <w:p w:rsidR="009F1FFF" w:rsidRPr="009F1FFF" w:rsidRDefault="009F1FFF" w:rsidP="001B4C2A">
            <w:pPr>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9F1FFF">
              <w:rPr>
                <w:sz w:val="18"/>
                <w:szCs w:val="18"/>
                <w:lang w:val="en-US"/>
              </w:rPr>
              <w:t>73</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tcPr>
          <w:p w:rsidR="009F1FFF" w:rsidRPr="009F1FFF" w:rsidRDefault="009F1FFF" w:rsidP="001B4C2A">
            <w:pPr>
              <w:jc w:val="center"/>
              <w:rPr>
                <w:sz w:val="18"/>
                <w:szCs w:val="18"/>
                <w:lang w:val="en-US"/>
              </w:rPr>
            </w:pPr>
            <w:r w:rsidRPr="009F1FFF">
              <w:rPr>
                <w:sz w:val="18"/>
                <w:szCs w:val="18"/>
                <w:lang w:val="en-US"/>
              </w:rPr>
              <w:t>1.011</w:t>
            </w:r>
          </w:p>
        </w:tc>
        <w:tc>
          <w:tcPr>
            <w:tcW w:w="0" w:type="auto"/>
            <w:shd w:val="clear" w:color="auto" w:fill="auto"/>
          </w:tcPr>
          <w:p w:rsidR="009F1FFF" w:rsidRPr="009F1FFF" w:rsidRDefault="009F1FFF" w:rsidP="001B4C2A">
            <w:pPr>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9F1FFF">
              <w:rPr>
                <w:sz w:val="18"/>
                <w:szCs w:val="18"/>
                <w:lang w:val="en-US"/>
              </w:rPr>
              <w:t>420</w:t>
            </w:r>
          </w:p>
        </w:tc>
        <w:tc>
          <w:tcPr>
            <w:cnfStyle w:val="000100000000" w:firstRow="0" w:lastRow="0" w:firstColumn="0" w:lastColumn="1" w:oddVBand="0" w:evenVBand="0" w:oddHBand="0" w:evenHBand="0" w:firstRowFirstColumn="0" w:firstRowLastColumn="0" w:lastRowFirstColumn="0" w:lastRowLastColumn="0"/>
            <w:tcW w:w="0" w:type="auto"/>
            <w:shd w:val="clear" w:color="auto" w:fill="auto"/>
          </w:tcPr>
          <w:p w:rsidR="009F1FFF" w:rsidRPr="009F1FFF" w:rsidRDefault="009F1FFF" w:rsidP="001B4C2A">
            <w:pPr>
              <w:jc w:val="center"/>
              <w:rPr>
                <w:sz w:val="18"/>
                <w:szCs w:val="18"/>
                <w:lang w:val="en-US"/>
              </w:rPr>
            </w:pPr>
            <w:r w:rsidRPr="009F1FFF">
              <w:rPr>
                <w:sz w:val="18"/>
                <w:szCs w:val="18"/>
                <w:lang w:val="en-US"/>
              </w:rPr>
              <w:t>106.273</w:t>
            </w:r>
          </w:p>
        </w:tc>
      </w:tr>
      <w:tr w:rsidR="009F1FFF" w:rsidRPr="009F1FFF" w:rsidTr="004654E9">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F1FFF" w:rsidRPr="009F1FFF" w:rsidRDefault="009F1FFF" w:rsidP="001B4C2A">
            <w:pPr>
              <w:jc w:val="center"/>
              <w:rPr>
                <w:sz w:val="18"/>
                <w:szCs w:val="18"/>
                <w:lang w:val="en-US"/>
              </w:rPr>
            </w:pPr>
            <w:r w:rsidRPr="009F1FFF">
              <w:rPr>
                <w:sz w:val="18"/>
                <w:szCs w:val="18"/>
                <w:lang w:val="en-US"/>
              </w:rPr>
              <w:t>Share of Total Demand (%)</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tcPr>
          <w:p w:rsidR="009F1FFF" w:rsidRPr="009F1FFF" w:rsidRDefault="009F1FFF" w:rsidP="001B4C2A">
            <w:pPr>
              <w:jc w:val="center"/>
              <w:rPr>
                <w:sz w:val="18"/>
                <w:szCs w:val="18"/>
                <w:lang w:val="en-US"/>
              </w:rPr>
            </w:pPr>
            <w:r w:rsidRPr="009F1FFF">
              <w:rPr>
                <w:sz w:val="18"/>
                <w:szCs w:val="18"/>
                <w:lang w:val="en-US"/>
              </w:rPr>
              <w:t>29.5</w:t>
            </w:r>
          </w:p>
        </w:tc>
        <w:tc>
          <w:tcPr>
            <w:tcW w:w="0" w:type="auto"/>
            <w:shd w:val="clear" w:color="auto" w:fill="auto"/>
          </w:tcPr>
          <w:p w:rsidR="009F1FFF" w:rsidRPr="009F1FFF" w:rsidRDefault="009F1FFF" w:rsidP="001B4C2A">
            <w:pPr>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9F1FFF">
              <w:rPr>
                <w:sz w:val="18"/>
                <w:szCs w:val="18"/>
                <w:lang w:val="en-US"/>
              </w:rPr>
              <w:t>29.9</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tcPr>
          <w:p w:rsidR="009F1FFF" w:rsidRPr="009F1FFF" w:rsidRDefault="009F1FFF" w:rsidP="001B4C2A">
            <w:pPr>
              <w:jc w:val="center"/>
              <w:rPr>
                <w:sz w:val="18"/>
                <w:szCs w:val="18"/>
                <w:lang w:val="en-US"/>
              </w:rPr>
            </w:pPr>
            <w:r w:rsidRPr="009F1FFF">
              <w:rPr>
                <w:sz w:val="18"/>
                <w:szCs w:val="18"/>
                <w:lang w:val="en-US"/>
              </w:rPr>
              <w:t>31.8</w:t>
            </w:r>
          </w:p>
        </w:tc>
        <w:tc>
          <w:tcPr>
            <w:tcW w:w="0" w:type="auto"/>
            <w:shd w:val="clear" w:color="auto" w:fill="auto"/>
          </w:tcPr>
          <w:p w:rsidR="009F1FFF" w:rsidRPr="009F1FFF" w:rsidRDefault="009F1FFF" w:rsidP="001B4C2A">
            <w:pPr>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9F1FFF">
              <w:rPr>
                <w:sz w:val="18"/>
                <w:szCs w:val="18"/>
                <w:lang w:val="en-US"/>
              </w:rPr>
              <w:t>4.5</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tcPr>
          <w:p w:rsidR="009F1FFF" w:rsidRPr="009F1FFF" w:rsidRDefault="009F1FFF" w:rsidP="001B4C2A">
            <w:pPr>
              <w:jc w:val="center"/>
              <w:rPr>
                <w:sz w:val="18"/>
                <w:szCs w:val="18"/>
                <w:lang w:val="en-US"/>
              </w:rPr>
            </w:pPr>
            <w:r w:rsidRPr="009F1FFF">
              <w:rPr>
                <w:sz w:val="18"/>
                <w:szCs w:val="18"/>
                <w:lang w:val="en-US"/>
              </w:rPr>
              <w:t>2.7</w:t>
            </w:r>
          </w:p>
        </w:tc>
        <w:tc>
          <w:tcPr>
            <w:tcW w:w="0" w:type="auto"/>
            <w:shd w:val="clear" w:color="auto" w:fill="auto"/>
          </w:tcPr>
          <w:p w:rsidR="009F1FFF" w:rsidRPr="009F1FFF" w:rsidRDefault="009F1FFF" w:rsidP="001B4C2A">
            <w:pPr>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9F1FFF">
              <w:rPr>
                <w:sz w:val="18"/>
                <w:szCs w:val="18"/>
                <w:lang w:val="en-US"/>
              </w:rPr>
              <w:t>0.1</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tcPr>
          <w:p w:rsidR="009F1FFF" w:rsidRPr="009F1FFF" w:rsidRDefault="009F1FFF" w:rsidP="001B4C2A">
            <w:pPr>
              <w:jc w:val="center"/>
              <w:rPr>
                <w:sz w:val="18"/>
                <w:szCs w:val="18"/>
                <w:lang w:val="en-US"/>
              </w:rPr>
            </w:pPr>
            <w:r w:rsidRPr="009F1FFF">
              <w:rPr>
                <w:sz w:val="18"/>
                <w:szCs w:val="18"/>
                <w:lang w:val="en-US"/>
              </w:rPr>
              <w:t>1.0</w:t>
            </w:r>
          </w:p>
        </w:tc>
        <w:tc>
          <w:tcPr>
            <w:tcW w:w="0" w:type="auto"/>
            <w:shd w:val="clear" w:color="auto" w:fill="auto"/>
          </w:tcPr>
          <w:p w:rsidR="009F1FFF" w:rsidRPr="009F1FFF" w:rsidRDefault="009F1FFF" w:rsidP="001B4C2A">
            <w:pPr>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9F1FFF">
              <w:rPr>
                <w:sz w:val="18"/>
                <w:szCs w:val="18"/>
                <w:lang w:val="en-US"/>
              </w:rPr>
              <w:t>0.4</w:t>
            </w:r>
          </w:p>
        </w:tc>
        <w:tc>
          <w:tcPr>
            <w:cnfStyle w:val="000100000000" w:firstRow="0" w:lastRow="0" w:firstColumn="0" w:lastColumn="1" w:oddVBand="0" w:evenVBand="0" w:oddHBand="0" w:evenHBand="0" w:firstRowFirstColumn="0" w:firstRowLastColumn="0" w:lastRowFirstColumn="0" w:lastRowLastColumn="0"/>
            <w:tcW w:w="0" w:type="auto"/>
            <w:shd w:val="clear" w:color="auto" w:fill="auto"/>
          </w:tcPr>
          <w:p w:rsidR="009F1FFF" w:rsidRPr="009F1FFF" w:rsidRDefault="009F1FFF" w:rsidP="001B4C2A">
            <w:pPr>
              <w:jc w:val="center"/>
              <w:rPr>
                <w:sz w:val="18"/>
                <w:szCs w:val="18"/>
                <w:lang w:val="en-US"/>
              </w:rPr>
            </w:pPr>
            <w:r w:rsidRPr="009F1FFF">
              <w:rPr>
                <w:sz w:val="18"/>
                <w:szCs w:val="18"/>
                <w:lang w:val="en-US"/>
              </w:rPr>
              <w:t>-</w:t>
            </w:r>
          </w:p>
        </w:tc>
      </w:tr>
      <w:tr w:rsidR="004654E9" w:rsidRPr="009F1FFF" w:rsidTr="004654E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F1FFF" w:rsidRPr="009F1FFF" w:rsidRDefault="009F1FFF" w:rsidP="001B4C2A">
            <w:pPr>
              <w:jc w:val="center"/>
              <w:rPr>
                <w:sz w:val="18"/>
                <w:szCs w:val="18"/>
                <w:lang w:val="en-US"/>
              </w:rPr>
            </w:pPr>
            <w:r w:rsidRPr="009F1FFF">
              <w:rPr>
                <w:sz w:val="18"/>
                <w:szCs w:val="18"/>
                <w:lang w:val="en-US"/>
              </w:rPr>
              <w:t>Primary Energy Supply</w:t>
            </w:r>
          </w:p>
          <w:p w:rsidR="009F1FFF" w:rsidRPr="009F1FFF" w:rsidRDefault="009F1FFF" w:rsidP="001B4C2A">
            <w:pPr>
              <w:jc w:val="center"/>
              <w:rPr>
                <w:sz w:val="18"/>
                <w:szCs w:val="18"/>
                <w:lang w:val="en-US"/>
              </w:rPr>
            </w:pPr>
            <w:r w:rsidRPr="009F1FFF">
              <w:rPr>
                <w:sz w:val="18"/>
                <w:szCs w:val="18"/>
                <w:lang w:val="en-US"/>
              </w:rPr>
              <w:t>(000 Tep)</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tcPr>
          <w:p w:rsidR="009F1FFF" w:rsidRPr="009F1FFF" w:rsidRDefault="009F1FFF" w:rsidP="001B4C2A">
            <w:pPr>
              <w:jc w:val="center"/>
              <w:rPr>
                <w:sz w:val="18"/>
                <w:szCs w:val="18"/>
                <w:lang w:val="en-US"/>
              </w:rPr>
            </w:pPr>
            <w:r w:rsidRPr="009F1FFF">
              <w:rPr>
                <w:sz w:val="18"/>
                <w:szCs w:val="18"/>
                <w:lang w:val="en-US"/>
              </w:rPr>
              <w:t>16.674</w:t>
            </w:r>
          </w:p>
        </w:tc>
        <w:tc>
          <w:tcPr>
            <w:tcW w:w="0" w:type="auto"/>
            <w:shd w:val="clear" w:color="auto" w:fill="auto"/>
          </w:tcPr>
          <w:p w:rsidR="009F1FFF" w:rsidRPr="009F1FFF" w:rsidRDefault="009F1FFF" w:rsidP="001B4C2A">
            <w:pPr>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9F1FFF">
              <w:rPr>
                <w:sz w:val="18"/>
                <w:szCs w:val="18"/>
                <w:lang w:val="en-US"/>
              </w:rPr>
              <w:t>2.268</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tcPr>
          <w:p w:rsidR="009F1FFF" w:rsidRPr="009F1FFF" w:rsidRDefault="009F1FFF" w:rsidP="001B4C2A">
            <w:pPr>
              <w:jc w:val="center"/>
              <w:rPr>
                <w:sz w:val="18"/>
                <w:szCs w:val="18"/>
                <w:lang w:val="en-US"/>
              </w:rPr>
            </w:pPr>
            <w:r w:rsidRPr="009F1FFF">
              <w:rPr>
                <w:sz w:val="18"/>
                <w:szCs w:val="18"/>
                <w:lang w:val="en-US"/>
              </w:rPr>
              <w:t>1014</w:t>
            </w:r>
          </w:p>
        </w:tc>
        <w:tc>
          <w:tcPr>
            <w:tcW w:w="0" w:type="auto"/>
            <w:shd w:val="clear" w:color="auto" w:fill="auto"/>
          </w:tcPr>
          <w:p w:rsidR="009F1FFF" w:rsidRPr="009F1FFF" w:rsidRDefault="009F1FFF" w:rsidP="001B4C2A">
            <w:pPr>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9F1FFF">
              <w:rPr>
                <w:sz w:val="18"/>
                <w:szCs w:val="18"/>
                <w:lang w:val="en-US"/>
              </w:rPr>
              <w:t>4.814</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tcPr>
          <w:p w:rsidR="009F1FFF" w:rsidRPr="009F1FFF" w:rsidRDefault="009F1FFF" w:rsidP="001B4C2A">
            <w:pPr>
              <w:jc w:val="center"/>
              <w:rPr>
                <w:sz w:val="18"/>
                <w:szCs w:val="18"/>
                <w:lang w:val="en-US"/>
              </w:rPr>
            </w:pPr>
            <w:r w:rsidRPr="009F1FFF">
              <w:rPr>
                <w:sz w:val="18"/>
                <w:szCs w:val="18"/>
                <w:lang w:val="en-US"/>
              </w:rPr>
              <w:t>2.861</w:t>
            </w:r>
          </w:p>
        </w:tc>
        <w:tc>
          <w:tcPr>
            <w:tcW w:w="0" w:type="auto"/>
            <w:shd w:val="clear" w:color="auto" w:fill="auto"/>
          </w:tcPr>
          <w:p w:rsidR="009F1FFF" w:rsidRPr="009F1FFF" w:rsidRDefault="009F1FFF" w:rsidP="001B4C2A">
            <w:pPr>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9F1FFF">
              <w:rPr>
                <w:sz w:val="18"/>
                <w:szCs w:val="18"/>
                <w:lang w:val="en-US"/>
              </w:rPr>
              <w:t>73</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tcPr>
          <w:p w:rsidR="009F1FFF" w:rsidRPr="009F1FFF" w:rsidRDefault="009F1FFF" w:rsidP="001B4C2A">
            <w:pPr>
              <w:jc w:val="center"/>
              <w:rPr>
                <w:sz w:val="18"/>
                <w:szCs w:val="18"/>
                <w:lang w:val="en-US"/>
              </w:rPr>
            </w:pPr>
            <w:r w:rsidRPr="009F1FFF">
              <w:rPr>
                <w:sz w:val="18"/>
                <w:szCs w:val="18"/>
                <w:lang w:val="en-US"/>
              </w:rPr>
              <w:t>1.011</w:t>
            </w:r>
          </w:p>
        </w:tc>
        <w:tc>
          <w:tcPr>
            <w:tcW w:w="0" w:type="auto"/>
            <w:shd w:val="clear" w:color="auto" w:fill="auto"/>
          </w:tcPr>
          <w:p w:rsidR="009F1FFF" w:rsidRPr="009F1FFF" w:rsidRDefault="009F1FFF" w:rsidP="001B4C2A">
            <w:pPr>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9F1FFF">
              <w:rPr>
                <w:sz w:val="18"/>
                <w:szCs w:val="18"/>
                <w:lang w:val="en-US"/>
              </w:rPr>
              <w:t>420</w:t>
            </w:r>
          </w:p>
        </w:tc>
        <w:tc>
          <w:tcPr>
            <w:cnfStyle w:val="000100000000" w:firstRow="0" w:lastRow="0" w:firstColumn="0" w:lastColumn="1" w:oddVBand="0" w:evenVBand="0" w:oddHBand="0" w:evenHBand="0" w:firstRowFirstColumn="0" w:firstRowLastColumn="0" w:lastRowFirstColumn="0" w:lastRowLastColumn="0"/>
            <w:tcW w:w="0" w:type="auto"/>
            <w:shd w:val="clear" w:color="auto" w:fill="auto"/>
          </w:tcPr>
          <w:p w:rsidR="009F1FFF" w:rsidRPr="009F1FFF" w:rsidRDefault="009F1FFF" w:rsidP="001B4C2A">
            <w:pPr>
              <w:jc w:val="center"/>
              <w:rPr>
                <w:sz w:val="18"/>
                <w:szCs w:val="18"/>
                <w:lang w:val="en-US"/>
              </w:rPr>
            </w:pPr>
            <w:r w:rsidRPr="009F1FFF">
              <w:rPr>
                <w:sz w:val="18"/>
                <w:szCs w:val="18"/>
                <w:lang w:val="en-US"/>
              </w:rPr>
              <w:t>29.192</w:t>
            </w:r>
          </w:p>
        </w:tc>
      </w:tr>
      <w:tr w:rsidR="009F1FFF" w:rsidRPr="009F1FFF" w:rsidTr="004654E9">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F1FFF" w:rsidRPr="009F1FFF" w:rsidRDefault="009F1FFF" w:rsidP="001B4C2A">
            <w:pPr>
              <w:jc w:val="center"/>
              <w:rPr>
                <w:sz w:val="18"/>
                <w:szCs w:val="18"/>
                <w:lang w:val="en-US"/>
              </w:rPr>
            </w:pPr>
            <w:r w:rsidRPr="009F1FFF">
              <w:rPr>
                <w:sz w:val="18"/>
                <w:szCs w:val="18"/>
                <w:lang w:val="en-US"/>
              </w:rPr>
              <w:t>Share of Total Supply (%)</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tcPr>
          <w:p w:rsidR="009F1FFF" w:rsidRPr="009F1FFF" w:rsidRDefault="009F1FFF" w:rsidP="001B4C2A">
            <w:pPr>
              <w:jc w:val="center"/>
              <w:rPr>
                <w:sz w:val="18"/>
                <w:szCs w:val="18"/>
                <w:lang w:val="en-US"/>
              </w:rPr>
            </w:pPr>
            <w:r w:rsidRPr="009F1FFF">
              <w:rPr>
                <w:sz w:val="18"/>
                <w:szCs w:val="18"/>
                <w:lang w:val="en-US"/>
              </w:rPr>
              <w:t>57.1</w:t>
            </w:r>
          </w:p>
        </w:tc>
        <w:tc>
          <w:tcPr>
            <w:tcW w:w="0" w:type="auto"/>
            <w:shd w:val="clear" w:color="auto" w:fill="auto"/>
          </w:tcPr>
          <w:p w:rsidR="009F1FFF" w:rsidRPr="009F1FFF" w:rsidRDefault="009F1FFF" w:rsidP="001B4C2A">
            <w:pPr>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9F1FFF">
              <w:rPr>
                <w:sz w:val="18"/>
                <w:szCs w:val="18"/>
                <w:lang w:val="en-US"/>
              </w:rPr>
              <w:t>7.8</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tcPr>
          <w:p w:rsidR="009F1FFF" w:rsidRPr="009F1FFF" w:rsidRDefault="009F1FFF" w:rsidP="001B4C2A">
            <w:pPr>
              <w:jc w:val="center"/>
              <w:rPr>
                <w:sz w:val="18"/>
                <w:szCs w:val="18"/>
                <w:lang w:val="en-US"/>
              </w:rPr>
            </w:pPr>
            <w:r w:rsidRPr="009F1FFF">
              <w:rPr>
                <w:sz w:val="18"/>
                <w:szCs w:val="18"/>
                <w:lang w:val="en-US"/>
              </w:rPr>
              <w:t>3.2</w:t>
            </w:r>
          </w:p>
        </w:tc>
        <w:tc>
          <w:tcPr>
            <w:tcW w:w="0" w:type="auto"/>
            <w:shd w:val="clear" w:color="auto" w:fill="auto"/>
          </w:tcPr>
          <w:p w:rsidR="009F1FFF" w:rsidRPr="009F1FFF" w:rsidRDefault="009F1FFF" w:rsidP="001B4C2A">
            <w:pPr>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9F1FFF">
              <w:rPr>
                <w:sz w:val="18"/>
                <w:szCs w:val="18"/>
                <w:lang w:val="en-US"/>
              </w:rPr>
              <w:t>16.5</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tcPr>
          <w:p w:rsidR="009F1FFF" w:rsidRPr="009F1FFF" w:rsidRDefault="009F1FFF" w:rsidP="001B4C2A">
            <w:pPr>
              <w:jc w:val="center"/>
              <w:rPr>
                <w:sz w:val="18"/>
                <w:szCs w:val="18"/>
                <w:lang w:val="en-US"/>
              </w:rPr>
            </w:pPr>
            <w:r w:rsidRPr="009F1FFF">
              <w:rPr>
                <w:sz w:val="18"/>
                <w:szCs w:val="18"/>
                <w:lang w:val="en-US"/>
              </w:rPr>
              <w:t>9.8</w:t>
            </w:r>
          </w:p>
        </w:tc>
        <w:tc>
          <w:tcPr>
            <w:tcW w:w="0" w:type="auto"/>
            <w:shd w:val="clear" w:color="auto" w:fill="auto"/>
          </w:tcPr>
          <w:p w:rsidR="009F1FFF" w:rsidRPr="009F1FFF" w:rsidRDefault="009F1FFF" w:rsidP="001B4C2A">
            <w:pPr>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9F1FFF">
              <w:rPr>
                <w:sz w:val="18"/>
                <w:szCs w:val="18"/>
                <w:lang w:val="en-US"/>
              </w:rPr>
              <w:t>0.2</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tcPr>
          <w:p w:rsidR="009F1FFF" w:rsidRPr="009F1FFF" w:rsidRDefault="009F1FFF" w:rsidP="001B4C2A">
            <w:pPr>
              <w:jc w:val="center"/>
              <w:rPr>
                <w:sz w:val="18"/>
                <w:szCs w:val="18"/>
                <w:lang w:val="en-US"/>
              </w:rPr>
            </w:pPr>
            <w:r w:rsidRPr="009F1FFF">
              <w:rPr>
                <w:sz w:val="18"/>
                <w:szCs w:val="18"/>
                <w:lang w:val="en-US"/>
              </w:rPr>
              <w:t>3.5</w:t>
            </w:r>
          </w:p>
        </w:tc>
        <w:tc>
          <w:tcPr>
            <w:tcW w:w="0" w:type="auto"/>
            <w:shd w:val="clear" w:color="auto" w:fill="auto"/>
          </w:tcPr>
          <w:p w:rsidR="009F1FFF" w:rsidRPr="009F1FFF" w:rsidRDefault="009F1FFF" w:rsidP="001B4C2A">
            <w:pPr>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9F1FFF">
              <w:rPr>
                <w:sz w:val="18"/>
                <w:szCs w:val="18"/>
                <w:lang w:val="en-US"/>
              </w:rPr>
              <w:t>1.4</w:t>
            </w:r>
          </w:p>
        </w:tc>
        <w:tc>
          <w:tcPr>
            <w:cnfStyle w:val="000100000000" w:firstRow="0" w:lastRow="0" w:firstColumn="0" w:lastColumn="1" w:oddVBand="0" w:evenVBand="0" w:oddHBand="0" w:evenHBand="0" w:firstRowFirstColumn="0" w:firstRowLastColumn="0" w:lastRowFirstColumn="0" w:lastRowLastColumn="0"/>
            <w:tcW w:w="0" w:type="auto"/>
            <w:shd w:val="clear" w:color="auto" w:fill="auto"/>
          </w:tcPr>
          <w:p w:rsidR="009F1FFF" w:rsidRPr="009F1FFF" w:rsidRDefault="009F1FFF" w:rsidP="001B4C2A">
            <w:pPr>
              <w:jc w:val="center"/>
              <w:rPr>
                <w:sz w:val="18"/>
                <w:szCs w:val="18"/>
                <w:lang w:val="en-US"/>
              </w:rPr>
            </w:pPr>
            <w:r w:rsidRPr="009F1FFF">
              <w:rPr>
                <w:sz w:val="18"/>
                <w:szCs w:val="18"/>
                <w:lang w:val="en-US"/>
              </w:rPr>
              <w:t>-</w:t>
            </w:r>
          </w:p>
        </w:tc>
      </w:tr>
      <w:tr w:rsidR="009F1FFF" w:rsidRPr="009F1FFF" w:rsidTr="004654E9">
        <w:trPr>
          <w:cnfStyle w:val="010000000000" w:firstRow="0" w:lastRow="1"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9F1FFF" w:rsidRPr="009F1FFF" w:rsidRDefault="009F1FFF" w:rsidP="001B4C2A">
            <w:pPr>
              <w:jc w:val="center"/>
              <w:rPr>
                <w:sz w:val="18"/>
                <w:szCs w:val="18"/>
                <w:lang w:val="en-US"/>
              </w:rPr>
            </w:pPr>
            <w:r w:rsidRPr="009F1FFF">
              <w:rPr>
                <w:sz w:val="18"/>
                <w:szCs w:val="18"/>
                <w:lang w:val="en-US"/>
              </w:rPr>
              <w:t xml:space="preserve">Ratio </w:t>
            </w:r>
            <w:r w:rsidR="004654E9" w:rsidRPr="009F1FFF">
              <w:rPr>
                <w:sz w:val="18"/>
                <w:szCs w:val="18"/>
                <w:lang w:val="en-US"/>
              </w:rPr>
              <w:t>of production</w:t>
            </w:r>
            <w:r w:rsidRPr="009F1FFF">
              <w:rPr>
                <w:sz w:val="18"/>
                <w:szCs w:val="18"/>
                <w:lang w:val="en-US"/>
              </w:rPr>
              <w:t xml:space="preserve"> to demand (%)</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tcPr>
          <w:p w:rsidR="009F1FFF" w:rsidRPr="009F1FFF" w:rsidRDefault="009F1FFF" w:rsidP="001B4C2A">
            <w:pPr>
              <w:jc w:val="center"/>
              <w:rPr>
                <w:sz w:val="18"/>
                <w:szCs w:val="18"/>
                <w:lang w:val="en-US"/>
              </w:rPr>
            </w:pPr>
            <w:r w:rsidRPr="009F1FFF">
              <w:rPr>
                <w:sz w:val="18"/>
                <w:szCs w:val="18"/>
                <w:lang w:val="en-US"/>
              </w:rPr>
              <w:t>53.1</w:t>
            </w:r>
          </w:p>
        </w:tc>
        <w:tc>
          <w:tcPr>
            <w:tcW w:w="0" w:type="auto"/>
            <w:shd w:val="clear" w:color="auto" w:fill="auto"/>
          </w:tcPr>
          <w:p w:rsidR="009F1FFF" w:rsidRPr="009F1FFF" w:rsidRDefault="009F1FFF" w:rsidP="001B4C2A">
            <w:pPr>
              <w:jc w:val="center"/>
              <w:cnfStyle w:val="010000000000" w:firstRow="0" w:lastRow="1" w:firstColumn="0" w:lastColumn="0" w:oddVBand="0" w:evenVBand="0" w:oddHBand="0" w:evenHBand="0" w:firstRowFirstColumn="0" w:firstRowLastColumn="0" w:lastRowFirstColumn="0" w:lastRowLastColumn="0"/>
              <w:rPr>
                <w:sz w:val="18"/>
                <w:szCs w:val="18"/>
                <w:lang w:val="en-US"/>
              </w:rPr>
            </w:pPr>
            <w:r w:rsidRPr="009F1FFF">
              <w:rPr>
                <w:sz w:val="18"/>
                <w:szCs w:val="18"/>
                <w:lang w:val="en-US"/>
              </w:rPr>
              <w:t>7.1</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tcPr>
          <w:p w:rsidR="009F1FFF" w:rsidRPr="009F1FFF" w:rsidRDefault="009F1FFF" w:rsidP="001B4C2A">
            <w:pPr>
              <w:jc w:val="center"/>
              <w:rPr>
                <w:sz w:val="18"/>
                <w:szCs w:val="18"/>
                <w:lang w:val="en-US"/>
              </w:rPr>
            </w:pPr>
            <w:r w:rsidRPr="009F1FFF">
              <w:rPr>
                <w:sz w:val="18"/>
                <w:szCs w:val="18"/>
                <w:lang w:val="en-US"/>
              </w:rPr>
              <w:t>2.8</w:t>
            </w:r>
          </w:p>
        </w:tc>
        <w:tc>
          <w:tcPr>
            <w:tcW w:w="0" w:type="auto"/>
            <w:shd w:val="clear" w:color="auto" w:fill="auto"/>
          </w:tcPr>
          <w:p w:rsidR="009F1FFF" w:rsidRPr="009F1FFF" w:rsidRDefault="009F1FFF" w:rsidP="001B4C2A">
            <w:pPr>
              <w:jc w:val="center"/>
              <w:cnfStyle w:val="010000000000" w:firstRow="0" w:lastRow="1" w:firstColumn="0" w:lastColumn="0" w:oddVBand="0" w:evenVBand="0" w:oddHBand="0" w:evenHBand="0" w:firstRowFirstColumn="0" w:firstRowLastColumn="0" w:lastRowFirstColumn="0" w:lastRowLastColumn="0"/>
              <w:rPr>
                <w:sz w:val="18"/>
                <w:szCs w:val="18"/>
                <w:lang w:val="en-US"/>
              </w:rPr>
            </w:pP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tcPr>
          <w:p w:rsidR="009F1FFF" w:rsidRPr="009F1FFF" w:rsidRDefault="009F1FFF" w:rsidP="001B4C2A">
            <w:pPr>
              <w:jc w:val="center"/>
              <w:rPr>
                <w:sz w:val="18"/>
                <w:szCs w:val="18"/>
                <w:lang w:val="en-US"/>
              </w:rPr>
            </w:pPr>
            <w:r w:rsidRPr="009F1FFF">
              <w:rPr>
                <w:sz w:val="18"/>
                <w:szCs w:val="18"/>
                <w:lang w:val="en-US"/>
              </w:rPr>
              <w:t>100.0</w:t>
            </w:r>
          </w:p>
        </w:tc>
        <w:tc>
          <w:tcPr>
            <w:tcW w:w="0" w:type="auto"/>
            <w:shd w:val="clear" w:color="auto" w:fill="auto"/>
          </w:tcPr>
          <w:p w:rsidR="009F1FFF" w:rsidRPr="009F1FFF" w:rsidRDefault="009F1FFF" w:rsidP="001B4C2A">
            <w:pPr>
              <w:jc w:val="center"/>
              <w:cnfStyle w:val="010000000000" w:firstRow="0" w:lastRow="1" w:firstColumn="0" w:lastColumn="0" w:oddVBand="0" w:evenVBand="0" w:oddHBand="0" w:evenHBand="0" w:firstRowFirstColumn="0" w:firstRowLastColumn="0" w:lastRowFirstColumn="0" w:lastRowLastColumn="0"/>
              <w:rPr>
                <w:sz w:val="18"/>
                <w:szCs w:val="18"/>
                <w:lang w:val="en-US"/>
              </w:rPr>
            </w:pPr>
            <w:r w:rsidRPr="009F1FFF">
              <w:rPr>
                <w:sz w:val="18"/>
                <w:szCs w:val="18"/>
                <w:lang w:val="en-US"/>
              </w:rPr>
              <w:t>100.0</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tcPr>
          <w:p w:rsidR="009F1FFF" w:rsidRPr="009F1FFF" w:rsidRDefault="009F1FFF" w:rsidP="001B4C2A">
            <w:pPr>
              <w:jc w:val="center"/>
              <w:rPr>
                <w:sz w:val="18"/>
                <w:szCs w:val="18"/>
                <w:lang w:val="en-US"/>
              </w:rPr>
            </w:pPr>
            <w:r w:rsidRPr="009F1FFF">
              <w:rPr>
                <w:sz w:val="18"/>
                <w:szCs w:val="18"/>
                <w:lang w:val="en-US"/>
              </w:rPr>
              <w:t>100.0</w:t>
            </w:r>
          </w:p>
        </w:tc>
        <w:tc>
          <w:tcPr>
            <w:tcW w:w="0" w:type="auto"/>
            <w:shd w:val="clear" w:color="auto" w:fill="auto"/>
          </w:tcPr>
          <w:p w:rsidR="009F1FFF" w:rsidRPr="009F1FFF" w:rsidRDefault="009F1FFF" w:rsidP="001B4C2A">
            <w:pPr>
              <w:jc w:val="center"/>
              <w:cnfStyle w:val="010000000000" w:firstRow="0" w:lastRow="1" w:firstColumn="0" w:lastColumn="0" w:oddVBand="0" w:evenVBand="0" w:oddHBand="0" w:evenHBand="0" w:firstRowFirstColumn="0" w:firstRowLastColumn="0" w:lastRowFirstColumn="0" w:lastRowLastColumn="0"/>
              <w:rPr>
                <w:sz w:val="18"/>
                <w:szCs w:val="18"/>
                <w:lang w:val="en-US"/>
              </w:rPr>
            </w:pPr>
            <w:r w:rsidRPr="009F1FFF">
              <w:rPr>
                <w:sz w:val="18"/>
                <w:szCs w:val="18"/>
                <w:lang w:val="en-US"/>
              </w:rPr>
              <w:t>100.0</w:t>
            </w:r>
          </w:p>
        </w:tc>
        <w:tc>
          <w:tcPr>
            <w:cnfStyle w:val="000100000000" w:firstRow="0" w:lastRow="0" w:firstColumn="0" w:lastColumn="1" w:oddVBand="0" w:evenVBand="0" w:oddHBand="0" w:evenHBand="0" w:firstRowFirstColumn="0" w:firstRowLastColumn="0" w:lastRowFirstColumn="0" w:lastRowLastColumn="0"/>
            <w:tcW w:w="0" w:type="auto"/>
            <w:shd w:val="clear" w:color="auto" w:fill="auto"/>
          </w:tcPr>
          <w:p w:rsidR="009F1FFF" w:rsidRPr="009F1FFF" w:rsidRDefault="009F1FFF" w:rsidP="001B4C2A">
            <w:pPr>
              <w:jc w:val="center"/>
              <w:rPr>
                <w:sz w:val="18"/>
                <w:szCs w:val="18"/>
                <w:lang w:val="en-US"/>
              </w:rPr>
            </w:pPr>
            <w:r w:rsidRPr="009F1FFF">
              <w:rPr>
                <w:sz w:val="18"/>
                <w:szCs w:val="18"/>
                <w:lang w:val="en-US"/>
              </w:rPr>
              <w:t>27.5</w:t>
            </w:r>
          </w:p>
        </w:tc>
      </w:tr>
    </w:tbl>
    <w:p w:rsidR="009F1FFF" w:rsidRDefault="009F1FFF" w:rsidP="009F1FFF">
      <w:pPr>
        <w:ind w:firstLine="708"/>
        <w:jc w:val="both"/>
        <w:rPr>
          <w:lang w:val="en-US"/>
        </w:rPr>
      </w:pPr>
    </w:p>
    <w:p w:rsidR="004654E9" w:rsidRPr="009F1FFF" w:rsidRDefault="004654E9" w:rsidP="009F1FFF">
      <w:pPr>
        <w:ind w:firstLine="708"/>
        <w:jc w:val="both"/>
        <w:rPr>
          <w:lang w:val="en-US"/>
        </w:rPr>
      </w:pPr>
    </w:p>
    <w:p w:rsidR="009F1FFF" w:rsidRDefault="009F1FFF" w:rsidP="004654E9">
      <w:pPr>
        <w:jc w:val="both"/>
        <w:rPr>
          <w:lang w:val="en-US"/>
        </w:rPr>
      </w:pPr>
      <w:r w:rsidRPr="009F1FFF">
        <w:rPr>
          <w:lang w:val="en-US"/>
        </w:rPr>
        <w:t xml:space="preserve">In the year 2008 the total primary energy consumption of our country has been 106,2 million Ton Equivalent Petroleum (TEP), and its production has been 29,1 million TEP. The relative insufficiency of the domestic resources of our country especially in terms of oil and natural gas in proportion to the rising energy demand in our country brings about the importation of oil and natural gas. Currently, Total energy dependence of our country is 73 pct. Oil and natural gas dependence are higher, 90 % and 98 % respectively. In this context, great importance is given to the improvement of the diversification of resources, technologies and infrastructure (EB, 2010:13). </w:t>
      </w:r>
    </w:p>
    <w:p w:rsidR="004654E9" w:rsidRDefault="004654E9" w:rsidP="004654E9">
      <w:pPr>
        <w:jc w:val="both"/>
        <w:rPr>
          <w:lang w:val="en-US"/>
        </w:rPr>
      </w:pPr>
    </w:p>
    <w:p w:rsidR="004654E9" w:rsidRPr="004654E9" w:rsidRDefault="004654E9" w:rsidP="004654E9">
      <w:pPr>
        <w:jc w:val="center"/>
        <w:rPr>
          <w:sz w:val="22"/>
          <w:szCs w:val="22"/>
          <w:lang w:val="en-US"/>
        </w:rPr>
      </w:pPr>
      <w:r>
        <w:rPr>
          <w:sz w:val="22"/>
          <w:szCs w:val="22"/>
          <w:lang w:val="en-US"/>
        </w:rPr>
        <w:t>Graph 1</w:t>
      </w:r>
      <w:r w:rsidRPr="004654E9">
        <w:rPr>
          <w:sz w:val="22"/>
          <w:szCs w:val="22"/>
          <w:lang w:val="en-US"/>
        </w:rPr>
        <w:t xml:space="preserve"> Rate of Foreign Dependence 2000-2008 (%) (EB, 2010: 13)</w:t>
      </w:r>
    </w:p>
    <w:p w:rsidR="004654E9" w:rsidRPr="009F1FFF" w:rsidRDefault="004654E9" w:rsidP="004654E9">
      <w:pPr>
        <w:jc w:val="both"/>
        <w:rPr>
          <w:lang w:val="en-US"/>
        </w:rPr>
      </w:pPr>
    </w:p>
    <w:p w:rsidR="009F1FFF" w:rsidRPr="009F1FFF" w:rsidRDefault="009F1FFF" w:rsidP="004654E9">
      <w:pPr>
        <w:jc w:val="center"/>
        <w:rPr>
          <w:lang w:val="en-US"/>
        </w:rPr>
      </w:pPr>
      <w:r w:rsidRPr="009F1FFF">
        <w:rPr>
          <w:noProof/>
          <w:lang w:val="en-US"/>
        </w:rPr>
        <w:drawing>
          <wp:inline distT="0" distB="0" distL="0" distR="0" wp14:anchorId="503C632E" wp14:editId="37B5A9B6">
            <wp:extent cx="5107492" cy="1605063"/>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07924" cy="1605199"/>
                    </a:xfrm>
                    <a:prstGeom prst="rect">
                      <a:avLst/>
                    </a:prstGeom>
                    <a:noFill/>
                    <a:ln>
                      <a:noFill/>
                    </a:ln>
                  </pic:spPr>
                </pic:pic>
              </a:graphicData>
            </a:graphic>
          </wp:inline>
        </w:drawing>
      </w:r>
    </w:p>
    <w:p w:rsidR="009F1FFF" w:rsidRPr="009F1FFF" w:rsidRDefault="009F1FFF" w:rsidP="009F1FFF">
      <w:pPr>
        <w:spacing w:after="120"/>
        <w:jc w:val="both"/>
        <w:rPr>
          <w:lang w:val="en-US"/>
        </w:rPr>
      </w:pPr>
      <w:r w:rsidRPr="009F1FFF">
        <w:rPr>
          <w:lang w:val="en-US"/>
        </w:rPr>
        <w:lastRenderedPageBreak/>
        <w:t xml:space="preserve">As Turkey, EU-27 dependency on energy imports increased to reach 54.1 % by 2010. The highest </w:t>
      </w:r>
      <w:hyperlink r:id="rId10" w:tooltip="Glossary:Energy dependency rate" w:history="1">
        <w:r w:rsidRPr="009F1FFF">
          <w:rPr>
            <w:rStyle w:val="Kpr"/>
            <w:lang w:val="en-US"/>
          </w:rPr>
          <w:t>energy dependency rates</w:t>
        </w:r>
      </w:hyperlink>
      <w:r w:rsidRPr="009F1FFF">
        <w:rPr>
          <w:lang w:val="en-US"/>
        </w:rPr>
        <w:t xml:space="preserve"> in 2010 were recorded for crude oil (85.2 %) and for natural gas (62.4 %) (Eurostat, 2013).</w:t>
      </w:r>
    </w:p>
    <w:p w:rsidR="009F1FFF" w:rsidRPr="004654E9" w:rsidRDefault="009F1FFF" w:rsidP="009F1FFF">
      <w:pPr>
        <w:spacing w:after="120"/>
        <w:jc w:val="both"/>
        <w:rPr>
          <w:lang w:val="en-US"/>
        </w:rPr>
      </w:pPr>
      <w:r w:rsidRPr="009F1FFF">
        <w:rPr>
          <w:lang w:val="en-US"/>
        </w:rPr>
        <w:t xml:space="preserve">The energy supply security, which sets the basis for the debates on the energy sector both across the world and for Turkey. Within the context of the energy supply security of Turkey, in recent years, the legal and technical studies have been intensified for the purpose of restructuring our energy market with a market understanding that is based on competition and transparent, detecting and using our domestic and renewable resources potential, integrating the nuclear energy into the electricity production, and utilizing the new energy technologies. For this reason, the oil and natural gas exploration operations </w:t>
      </w:r>
      <w:r w:rsidRPr="004654E9">
        <w:rPr>
          <w:lang w:val="en-US"/>
        </w:rPr>
        <w:t>both at home and abroad have been intensified in the recent years(EB, 2010;12).</w:t>
      </w:r>
    </w:p>
    <w:p w:rsidR="009F1FFF" w:rsidRDefault="009F1FFF" w:rsidP="004654E9">
      <w:pPr>
        <w:spacing w:after="120"/>
        <w:jc w:val="both"/>
        <w:rPr>
          <w:lang w:val="en-US"/>
        </w:rPr>
      </w:pPr>
      <w:r w:rsidRPr="004654E9">
        <w:rPr>
          <w:lang w:val="en-US"/>
        </w:rPr>
        <w:t xml:space="preserve">With the moves of investment in the exploration works both at home and abroad that have been accelerated in 2003, the exploration and drilling operations have been improved. In line with the changing exploration strategy and the rising exploration investments, the exploration works at home in the land as well as the hydrocarbon explorations in the seas abroad are given much importance. In line with this strategy, especially in the Black Sea, from 2004 to 2009, an intensive seismic program was implemented in our waters and the studies will be sustained increasingly. The graphics on the oil and natural gas drilling amounts conducted in the period from 2000 to 2009 are given below (EB, 2010: 13). </w:t>
      </w:r>
    </w:p>
    <w:p w:rsidR="004654E9" w:rsidRDefault="004654E9" w:rsidP="004654E9">
      <w:pPr>
        <w:spacing w:after="120"/>
        <w:jc w:val="both"/>
        <w:rPr>
          <w:lang w:val="en-US"/>
        </w:rPr>
      </w:pPr>
    </w:p>
    <w:p w:rsidR="004654E9" w:rsidRPr="004654E9" w:rsidRDefault="004654E9" w:rsidP="004654E9">
      <w:pPr>
        <w:spacing w:after="120"/>
        <w:jc w:val="center"/>
        <w:rPr>
          <w:sz w:val="22"/>
          <w:szCs w:val="22"/>
          <w:lang w:val="en-US"/>
        </w:rPr>
      </w:pPr>
      <w:r>
        <w:rPr>
          <w:bCs/>
          <w:sz w:val="22"/>
          <w:szCs w:val="22"/>
          <w:lang w:val="en-US"/>
        </w:rPr>
        <w:t>Graph 2</w:t>
      </w:r>
      <w:r w:rsidRPr="004654E9">
        <w:rPr>
          <w:bCs/>
          <w:sz w:val="22"/>
          <w:szCs w:val="22"/>
          <w:lang w:val="en-US"/>
        </w:rPr>
        <w:t xml:space="preserve"> </w:t>
      </w:r>
      <w:r w:rsidRPr="004654E9">
        <w:rPr>
          <w:sz w:val="22"/>
          <w:szCs w:val="22"/>
          <w:lang w:val="en-US"/>
        </w:rPr>
        <w:t xml:space="preserve">Oil and Natural Gas Drilling Total Amount 2000-2009 (1,000 </w:t>
      </w:r>
      <w:r w:rsidRPr="004654E9">
        <w:rPr>
          <w:sz w:val="22"/>
          <w:szCs w:val="22"/>
          <w:lang w:val="en-US"/>
        </w:rPr>
        <w:t>meters)</w:t>
      </w:r>
      <w:r w:rsidRPr="004654E9">
        <w:rPr>
          <w:sz w:val="22"/>
          <w:szCs w:val="22"/>
          <w:lang w:val="en-US"/>
        </w:rPr>
        <w:t xml:space="preserve"> (EB, 2010: 14)</w:t>
      </w:r>
    </w:p>
    <w:p w:rsidR="004654E9" w:rsidRPr="004654E9" w:rsidRDefault="004654E9" w:rsidP="004654E9">
      <w:pPr>
        <w:spacing w:after="120"/>
        <w:jc w:val="both"/>
        <w:rPr>
          <w:sz w:val="8"/>
          <w:lang w:val="en-US"/>
        </w:rPr>
      </w:pPr>
    </w:p>
    <w:p w:rsidR="009F1FFF" w:rsidRPr="009F1FFF" w:rsidRDefault="009F1FFF" w:rsidP="004654E9">
      <w:pPr>
        <w:spacing w:after="120"/>
        <w:jc w:val="center"/>
        <w:rPr>
          <w:lang w:val="en-US"/>
        </w:rPr>
      </w:pPr>
      <w:r w:rsidRPr="009F1FFF">
        <w:rPr>
          <w:noProof/>
          <w:lang w:val="en-US"/>
        </w:rPr>
        <w:drawing>
          <wp:inline distT="0" distB="0" distL="0" distR="0" wp14:anchorId="4F3C8854" wp14:editId="6046D6DB">
            <wp:extent cx="5398851" cy="152711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99079" cy="1527175"/>
                    </a:xfrm>
                    <a:prstGeom prst="rect">
                      <a:avLst/>
                    </a:prstGeom>
                    <a:noFill/>
                    <a:ln>
                      <a:noFill/>
                    </a:ln>
                  </pic:spPr>
                </pic:pic>
              </a:graphicData>
            </a:graphic>
          </wp:inline>
        </w:drawing>
      </w:r>
    </w:p>
    <w:p w:rsidR="009F1FFF" w:rsidRPr="009F1FFF" w:rsidRDefault="009F1FFF" w:rsidP="009F1FFF">
      <w:pPr>
        <w:autoSpaceDE w:val="0"/>
        <w:autoSpaceDN w:val="0"/>
        <w:adjustRightInd w:val="0"/>
        <w:spacing w:after="120"/>
        <w:jc w:val="both"/>
        <w:rPr>
          <w:lang w:val="en-US"/>
        </w:rPr>
      </w:pPr>
    </w:p>
    <w:p w:rsidR="009F1FFF" w:rsidRPr="009F1FFF" w:rsidRDefault="009F1FFF" w:rsidP="009F1FFF">
      <w:pPr>
        <w:autoSpaceDE w:val="0"/>
        <w:autoSpaceDN w:val="0"/>
        <w:adjustRightInd w:val="0"/>
        <w:spacing w:after="120"/>
        <w:jc w:val="both"/>
        <w:rPr>
          <w:lang w:val="en-US"/>
        </w:rPr>
      </w:pPr>
      <w:r w:rsidRPr="009F1FFF">
        <w:rPr>
          <w:lang w:val="en-US"/>
        </w:rPr>
        <w:t>In 2011, As a result of oil and natural gas drilling, in total 201 wells being as 101 exploration wells, 35 appraisal wells, 60 production wells and 5 natural gas storage wells were drilled. So 2.4 million tonnes of oil and 793 million m³ natural gas was produced in 2011 and totally 137.9 million tonnes of oil and 12.8 billion m³ natural gas were produced by now (TP, 2011:26).</w:t>
      </w:r>
    </w:p>
    <w:p w:rsidR="009F1FFF" w:rsidRPr="009F1FFF" w:rsidRDefault="009F1FFF" w:rsidP="009F1FFF">
      <w:pPr>
        <w:autoSpaceDE w:val="0"/>
        <w:autoSpaceDN w:val="0"/>
        <w:adjustRightInd w:val="0"/>
        <w:spacing w:after="120"/>
        <w:jc w:val="both"/>
        <w:rPr>
          <w:lang w:val="en-US"/>
        </w:rPr>
      </w:pPr>
      <w:r w:rsidRPr="009F1FFF">
        <w:rPr>
          <w:lang w:val="en-US"/>
        </w:rPr>
        <w:t>Furthermore, through new production wells drilled in old fields and new natural gas explorations conducted and partnerships in Thrace since 2002; gas production that declined in 2001 started to increase again and reached its peak level in 2008 with production rate of 1,014 million m</w:t>
      </w:r>
      <w:r w:rsidRPr="009F1FFF">
        <w:rPr>
          <w:vertAlign w:val="superscript"/>
          <w:lang w:val="en-US"/>
        </w:rPr>
        <w:t>3</w:t>
      </w:r>
      <w:r w:rsidRPr="009F1FFF">
        <w:rPr>
          <w:lang w:val="en-US"/>
        </w:rPr>
        <w:t>. In 2011 natural gas production recorded as 793 million m</w:t>
      </w:r>
      <w:r w:rsidRPr="009F1FFF">
        <w:rPr>
          <w:vertAlign w:val="superscript"/>
          <w:lang w:val="en-US"/>
        </w:rPr>
        <w:t>3</w:t>
      </w:r>
      <w:r w:rsidRPr="009F1FFF">
        <w:rPr>
          <w:lang w:val="en-US"/>
        </w:rPr>
        <w:t xml:space="preserve"> </w:t>
      </w:r>
      <w:r w:rsidRPr="009F1FFF">
        <w:rPr>
          <w:sz w:val="22"/>
          <w:szCs w:val="22"/>
          <w:lang w:val="en-US"/>
        </w:rPr>
        <w:t>(TP, 2011:26).</w:t>
      </w:r>
    </w:p>
    <w:p w:rsidR="009F1FFF" w:rsidRDefault="009F1FFF" w:rsidP="009F1FFF">
      <w:pPr>
        <w:autoSpaceDE w:val="0"/>
        <w:autoSpaceDN w:val="0"/>
        <w:adjustRightInd w:val="0"/>
        <w:spacing w:after="120"/>
        <w:jc w:val="both"/>
        <w:rPr>
          <w:lang w:val="en-US"/>
        </w:rPr>
      </w:pPr>
      <w:r w:rsidRPr="009F1FFF">
        <w:rPr>
          <w:lang w:val="en-US"/>
        </w:rPr>
        <w:t>By the year 2011, recoverable oil reserve reached 310.4 million barrels (45.43 million tonnes) and in case of no new exploration; estimated R/P ratio of domestic crude oil is 19.2 years with the current production level. Also, domestic natural gas reserves were 7.17 billion m</w:t>
      </w:r>
      <w:r w:rsidRPr="009F1FFF">
        <w:rPr>
          <w:vertAlign w:val="superscript"/>
          <w:lang w:val="en-US"/>
        </w:rPr>
        <w:t>3</w:t>
      </w:r>
      <w:r w:rsidRPr="009F1FFF">
        <w:rPr>
          <w:lang w:val="en-US"/>
        </w:rPr>
        <w:t>. In case of no new discovery and with the current production level, estimated R/P ratio of domestic natural gas reserves is 9 years (TP, 2011:26).</w:t>
      </w:r>
    </w:p>
    <w:p w:rsidR="00001476" w:rsidRDefault="00001476" w:rsidP="004654E9">
      <w:pPr>
        <w:spacing w:after="120"/>
        <w:ind w:firstLine="720"/>
        <w:jc w:val="both"/>
        <w:rPr>
          <w:sz w:val="22"/>
          <w:szCs w:val="22"/>
          <w:lang w:val="en-US"/>
        </w:rPr>
      </w:pPr>
    </w:p>
    <w:p w:rsidR="004654E9" w:rsidRPr="004654E9" w:rsidRDefault="004654E9" w:rsidP="00001476">
      <w:pPr>
        <w:spacing w:after="120"/>
        <w:ind w:firstLine="720"/>
        <w:jc w:val="center"/>
        <w:rPr>
          <w:sz w:val="22"/>
          <w:szCs w:val="22"/>
          <w:lang w:val="en-US"/>
        </w:rPr>
      </w:pPr>
      <w:r>
        <w:rPr>
          <w:sz w:val="22"/>
          <w:szCs w:val="22"/>
          <w:lang w:val="en-US"/>
        </w:rPr>
        <w:lastRenderedPageBreak/>
        <w:t>Graph 3</w:t>
      </w:r>
      <w:r w:rsidRPr="004654E9">
        <w:rPr>
          <w:sz w:val="22"/>
          <w:szCs w:val="22"/>
          <w:lang w:val="en-US"/>
        </w:rPr>
        <w:t xml:space="preserve"> Crude Oil </w:t>
      </w:r>
      <w:r w:rsidR="00001476" w:rsidRPr="004654E9">
        <w:rPr>
          <w:sz w:val="22"/>
          <w:szCs w:val="22"/>
          <w:lang w:val="en-US"/>
        </w:rPr>
        <w:t>Productions</w:t>
      </w:r>
      <w:r w:rsidRPr="004654E9">
        <w:rPr>
          <w:sz w:val="22"/>
          <w:szCs w:val="22"/>
          <w:lang w:val="en-US"/>
        </w:rPr>
        <w:t xml:space="preserve"> in Turkey (2002-1012) (TP, 2011:28)</w:t>
      </w:r>
    </w:p>
    <w:p w:rsidR="009F1FFF" w:rsidRPr="009F1FFF" w:rsidRDefault="009F1FFF" w:rsidP="009F1FFF">
      <w:pPr>
        <w:spacing w:after="120"/>
        <w:jc w:val="both"/>
        <w:rPr>
          <w:lang w:val="en-US"/>
        </w:rPr>
      </w:pPr>
    </w:p>
    <w:p w:rsidR="009F1FFF" w:rsidRDefault="009F1FFF" w:rsidP="00001476">
      <w:pPr>
        <w:spacing w:after="120"/>
        <w:jc w:val="center"/>
        <w:rPr>
          <w:lang w:val="en-US"/>
        </w:rPr>
      </w:pPr>
      <w:r w:rsidRPr="009F1FFF">
        <w:rPr>
          <w:noProof/>
          <w:lang w:val="en-US"/>
        </w:rPr>
        <w:drawing>
          <wp:inline distT="0" distB="0" distL="0" distR="0" wp14:anchorId="18AD6F52" wp14:editId="50945582">
            <wp:extent cx="5184842" cy="2500009"/>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84842" cy="2500009"/>
                    </a:xfrm>
                    <a:prstGeom prst="rect">
                      <a:avLst/>
                    </a:prstGeom>
                    <a:noFill/>
                    <a:ln>
                      <a:noFill/>
                    </a:ln>
                  </pic:spPr>
                </pic:pic>
              </a:graphicData>
            </a:graphic>
          </wp:inline>
        </w:drawing>
      </w:r>
    </w:p>
    <w:p w:rsidR="00001476" w:rsidRPr="009F1FFF" w:rsidRDefault="00001476" w:rsidP="00001476">
      <w:pPr>
        <w:spacing w:after="120"/>
        <w:jc w:val="center"/>
        <w:rPr>
          <w:lang w:val="en-US"/>
        </w:rPr>
      </w:pPr>
    </w:p>
    <w:p w:rsidR="00001476" w:rsidRPr="00001476" w:rsidRDefault="00001476" w:rsidP="00001476">
      <w:pPr>
        <w:spacing w:after="120"/>
        <w:ind w:firstLine="720"/>
        <w:jc w:val="center"/>
        <w:rPr>
          <w:sz w:val="22"/>
          <w:szCs w:val="22"/>
          <w:lang w:val="en-US"/>
        </w:rPr>
      </w:pPr>
      <w:r w:rsidRPr="00001476">
        <w:rPr>
          <w:sz w:val="22"/>
          <w:szCs w:val="22"/>
          <w:lang w:val="en-US"/>
        </w:rPr>
        <w:t>Graph 4</w:t>
      </w:r>
      <w:r w:rsidRPr="00001476">
        <w:rPr>
          <w:sz w:val="22"/>
          <w:szCs w:val="22"/>
          <w:lang w:val="en-US"/>
        </w:rPr>
        <w:t xml:space="preserve"> Natural Gas </w:t>
      </w:r>
      <w:r w:rsidRPr="00001476">
        <w:rPr>
          <w:sz w:val="22"/>
          <w:szCs w:val="22"/>
          <w:lang w:val="en-US"/>
        </w:rPr>
        <w:t>Productions</w:t>
      </w:r>
      <w:r w:rsidRPr="00001476">
        <w:rPr>
          <w:sz w:val="22"/>
          <w:szCs w:val="22"/>
          <w:lang w:val="en-US"/>
        </w:rPr>
        <w:t xml:space="preserve"> in Turkey (2002-2012) (TP, 2011:28)</w:t>
      </w:r>
    </w:p>
    <w:p w:rsidR="009F1FFF" w:rsidRPr="009F1FFF" w:rsidRDefault="009F1FFF" w:rsidP="009F1FFF">
      <w:pPr>
        <w:spacing w:after="120"/>
        <w:jc w:val="both"/>
        <w:rPr>
          <w:lang w:val="en-US"/>
        </w:rPr>
      </w:pPr>
    </w:p>
    <w:p w:rsidR="009F1FFF" w:rsidRPr="009F1FFF" w:rsidRDefault="009F1FFF" w:rsidP="00001476">
      <w:pPr>
        <w:spacing w:after="120"/>
        <w:jc w:val="center"/>
        <w:rPr>
          <w:lang w:val="en-US"/>
        </w:rPr>
      </w:pPr>
      <w:r w:rsidRPr="009F1FFF">
        <w:rPr>
          <w:noProof/>
          <w:lang w:val="en-US"/>
        </w:rPr>
        <w:drawing>
          <wp:inline distT="0" distB="0" distL="0" distR="0" wp14:anchorId="65A14952" wp14:editId="7786BA9C">
            <wp:extent cx="5593404" cy="2441643"/>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93615" cy="2441735"/>
                    </a:xfrm>
                    <a:prstGeom prst="rect">
                      <a:avLst/>
                    </a:prstGeom>
                    <a:noFill/>
                    <a:ln>
                      <a:noFill/>
                    </a:ln>
                  </pic:spPr>
                </pic:pic>
              </a:graphicData>
            </a:graphic>
          </wp:inline>
        </w:drawing>
      </w:r>
    </w:p>
    <w:p w:rsidR="009F1FFF" w:rsidRPr="009F1FFF" w:rsidRDefault="009F1FFF" w:rsidP="009F1FFF">
      <w:pPr>
        <w:autoSpaceDE w:val="0"/>
        <w:autoSpaceDN w:val="0"/>
        <w:adjustRightInd w:val="0"/>
        <w:jc w:val="both"/>
        <w:rPr>
          <w:lang w:val="en-US"/>
        </w:rPr>
      </w:pPr>
    </w:p>
    <w:p w:rsidR="009F1FFF" w:rsidRPr="009F1FFF" w:rsidRDefault="009F1FFF" w:rsidP="009F1FFF">
      <w:pPr>
        <w:autoSpaceDE w:val="0"/>
        <w:autoSpaceDN w:val="0"/>
        <w:adjustRightInd w:val="0"/>
        <w:spacing w:before="120"/>
        <w:jc w:val="both"/>
        <w:rPr>
          <w:lang w:val="en-US"/>
        </w:rPr>
      </w:pPr>
      <w:r w:rsidRPr="009F1FFF">
        <w:rPr>
          <w:lang w:val="en-US"/>
        </w:rPr>
        <w:t>In the last decade, crude oil supply of Turkey has decreased by 15%, whereas natural gas supply has increased by 121%. But, 9.5% of crude oil demand and 2% of natural gas demand have been met by local supply in 2011(TP, 2011:28).</w:t>
      </w:r>
    </w:p>
    <w:p w:rsidR="009F1FFF" w:rsidRPr="009F1FFF" w:rsidRDefault="00001476" w:rsidP="009F1FFF">
      <w:pPr>
        <w:spacing w:before="120"/>
        <w:jc w:val="both"/>
        <w:rPr>
          <w:lang w:val="en-US"/>
        </w:rPr>
      </w:pPr>
      <w:r>
        <w:rPr>
          <w:lang w:val="en-US"/>
        </w:rPr>
        <w:t>T</w:t>
      </w:r>
      <w:r w:rsidR="009F1FFF" w:rsidRPr="009F1FFF">
        <w:rPr>
          <w:lang w:val="en-US"/>
        </w:rPr>
        <w:t xml:space="preserve">he exploration and drilling </w:t>
      </w:r>
      <w:r>
        <w:rPr>
          <w:lang w:val="en-US"/>
        </w:rPr>
        <w:t>operations</w:t>
      </w:r>
      <w:r w:rsidR="009F1FFF" w:rsidRPr="009F1FFF">
        <w:rPr>
          <w:lang w:val="en-US"/>
        </w:rPr>
        <w:t xml:space="preserve"> have been improved by the years, production of primary energy very less. </w:t>
      </w:r>
      <w:r w:rsidRPr="009F1FFF">
        <w:rPr>
          <w:lang w:val="en-US"/>
        </w:rPr>
        <w:t>Especially</w:t>
      </w:r>
      <w:r w:rsidR="009F1FFF" w:rsidRPr="009F1FFF">
        <w:rPr>
          <w:lang w:val="en-US"/>
        </w:rPr>
        <w:t xml:space="preserve">, </w:t>
      </w:r>
      <w:r>
        <w:rPr>
          <w:lang w:val="en-US"/>
        </w:rPr>
        <w:t xml:space="preserve">there are </w:t>
      </w:r>
      <w:r w:rsidR="009F1FFF" w:rsidRPr="009F1FFF">
        <w:rPr>
          <w:lang w:val="en-US"/>
        </w:rPr>
        <w:t>very high foreign dependence on oil and natural gas for Turkey.</w:t>
      </w:r>
    </w:p>
    <w:p w:rsidR="009F1FFF" w:rsidRPr="009F1FFF" w:rsidRDefault="009F1FFF" w:rsidP="009F1FFF">
      <w:pPr>
        <w:spacing w:after="120"/>
        <w:jc w:val="both"/>
        <w:rPr>
          <w:sz w:val="22"/>
          <w:szCs w:val="22"/>
          <w:lang w:val="en-US"/>
        </w:rPr>
      </w:pPr>
    </w:p>
    <w:p w:rsidR="009F1FFF" w:rsidRPr="009F1FFF" w:rsidRDefault="009F1FFF" w:rsidP="009F1FFF">
      <w:pPr>
        <w:spacing w:after="120"/>
        <w:jc w:val="both"/>
        <w:rPr>
          <w:sz w:val="22"/>
          <w:szCs w:val="22"/>
          <w:lang w:val="en-US"/>
        </w:rPr>
      </w:pPr>
    </w:p>
    <w:p w:rsidR="009F1FFF" w:rsidRPr="009F1FFF" w:rsidRDefault="009F1FFF" w:rsidP="009F1FFF">
      <w:pPr>
        <w:spacing w:after="120"/>
        <w:jc w:val="both"/>
        <w:rPr>
          <w:sz w:val="22"/>
          <w:szCs w:val="22"/>
          <w:lang w:val="en-US"/>
        </w:rPr>
      </w:pPr>
    </w:p>
    <w:p w:rsidR="009F1FFF" w:rsidRDefault="009F1FFF" w:rsidP="009F1FFF">
      <w:pPr>
        <w:spacing w:after="120"/>
        <w:jc w:val="both"/>
        <w:rPr>
          <w:sz w:val="22"/>
          <w:szCs w:val="22"/>
          <w:lang w:val="en-US"/>
        </w:rPr>
      </w:pPr>
    </w:p>
    <w:p w:rsidR="00001476" w:rsidRDefault="00001476" w:rsidP="009F1FFF">
      <w:pPr>
        <w:spacing w:after="120"/>
        <w:jc w:val="both"/>
        <w:rPr>
          <w:sz w:val="22"/>
          <w:szCs w:val="22"/>
          <w:lang w:val="en-US"/>
        </w:rPr>
      </w:pPr>
    </w:p>
    <w:p w:rsidR="00001476" w:rsidRPr="00001476" w:rsidRDefault="00001476" w:rsidP="00001476">
      <w:pPr>
        <w:spacing w:after="120"/>
        <w:ind w:firstLine="900"/>
        <w:jc w:val="center"/>
        <w:rPr>
          <w:sz w:val="22"/>
          <w:szCs w:val="22"/>
          <w:lang w:val="en-US"/>
        </w:rPr>
      </w:pPr>
      <w:r>
        <w:rPr>
          <w:sz w:val="22"/>
          <w:szCs w:val="22"/>
          <w:lang w:val="en-US"/>
        </w:rPr>
        <w:lastRenderedPageBreak/>
        <w:t>Graph 5</w:t>
      </w:r>
      <w:r w:rsidRPr="00001476">
        <w:rPr>
          <w:sz w:val="22"/>
          <w:szCs w:val="22"/>
          <w:lang w:val="en-US"/>
        </w:rPr>
        <w:t xml:space="preserve"> Crude Oil Supply in Turkey (2002-2011) (TP, 2011:30)</w:t>
      </w:r>
    </w:p>
    <w:p w:rsidR="009F1FFF" w:rsidRPr="009F1FFF" w:rsidRDefault="009F1FFF" w:rsidP="00001476">
      <w:pPr>
        <w:spacing w:after="120"/>
        <w:jc w:val="center"/>
        <w:rPr>
          <w:lang w:val="en-US"/>
        </w:rPr>
      </w:pPr>
      <w:r w:rsidRPr="009F1FFF">
        <w:rPr>
          <w:noProof/>
          <w:lang w:val="en-US"/>
        </w:rPr>
        <w:drawing>
          <wp:inline distT="0" distB="0" distL="0" distR="0" wp14:anchorId="06B1DB20" wp14:editId="7030160A">
            <wp:extent cx="5408579" cy="1857983"/>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8832" cy="1858070"/>
                    </a:xfrm>
                    <a:prstGeom prst="rect">
                      <a:avLst/>
                    </a:prstGeom>
                    <a:noFill/>
                    <a:ln>
                      <a:noFill/>
                    </a:ln>
                  </pic:spPr>
                </pic:pic>
              </a:graphicData>
            </a:graphic>
          </wp:inline>
        </w:drawing>
      </w:r>
    </w:p>
    <w:p w:rsidR="00001476" w:rsidRDefault="00001476" w:rsidP="00001476">
      <w:pPr>
        <w:spacing w:after="120"/>
        <w:ind w:firstLine="900"/>
        <w:jc w:val="both"/>
        <w:rPr>
          <w:b/>
          <w:sz w:val="22"/>
          <w:szCs w:val="22"/>
          <w:lang w:val="en-US"/>
        </w:rPr>
      </w:pPr>
    </w:p>
    <w:p w:rsidR="00001476" w:rsidRPr="00001476" w:rsidRDefault="00001476" w:rsidP="00001476">
      <w:pPr>
        <w:spacing w:after="120"/>
        <w:ind w:firstLine="900"/>
        <w:jc w:val="center"/>
        <w:rPr>
          <w:sz w:val="22"/>
          <w:szCs w:val="22"/>
          <w:lang w:val="en-US"/>
        </w:rPr>
      </w:pPr>
      <w:r w:rsidRPr="00001476">
        <w:rPr>
          <w:sz w:val="22"/>
          <w:szCs w:val="22"/>
          <w:lang w:val="en-US"/>
        </w:rPr>
        <w:t>Graph 6 Natural Gas Supply in Turkey (2002-2011)</w:t>
      </w:r>
    </w:p>
    <w:p w:rsidR="009F1FFF" w:rsidRDefault="009F1FFF" w:rsidP="00001476">
      <w:pPr>
        <w:spacing w:after="120"/>
        <w:jc w:val="center"/>
        <w:rPr>
          <w:sz w:val="22"/>
          <w:szCs w:val="22"/>
          <w:lang w:val="en-US"/>
        </w:rPr>
      </w:pPr>
      <w:r w:rsidRPr="009F1FFF">
        <w:rPr>
          <w:noProof/>
          <w:sz w:val="22"/>
          <w:szCs w:val="22"/>
          <w:lang w:val="en-US"/>
        </w:rPr>
        <w:drawing>
          <wp:inline distT="0" distB="0" distL="0" distR="0" wp14:anchorId="7FCA7F68" wp14:editId="1686A9B3">
            <wp:extent cx="5544765" cy="1760706"/>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45000" cy="1760781"/>
                    </a:xfrm>
                    <a:prstGeom prst="rect">
                      <a:avLst/>
                    </a:prstGeom>
                    <a:noFill/>
                    <a:ln>
                      <a:noFill/>
                    </a:ln>
                  </pic:spPr>
                </pic:pic>
              </a:graphicData>
            </a:graphic>
          </wp:inline>
        </w:drawing>
      </w:r>
    </w:p>
    <w:p w:rsidR="009F1FFF" w:rsidRPr="009F1FFF" w:rsidRDefault="009F1FFF" w:rsidP="00001476">
      <w:pPr>
        <w:spacing w:after="120"/>
        <w:jc w:val="both"/>
        <w:rPr>
          <w:lang w:val="en-US"/>
        </w:rPr>
      </w:pPr>
      <w:r w:rsidRPr="009F1FFF">
        <w:rPr>
          <w:lang w:val="en-US"/>
        </w:rPr>
        <w:t>Graph 7 shows us dependence of energy ratio of EU27. EU-27’s net imports of energy have been greater than its primary production; in other words, more than half of the EU-27’s gross inland energy consumption was supplied by net imports. Denmark was the only EU-27 Member State in 2010 with a negative dependency rate. Among the other Member States, the lowest dependency rates were recorded by Estonia, Romania, the Czech Republic and the United Kingdom, but Cyprus, Malta and Luxembourg were almost entirely dependent on primary energy imports.</w:t>
      </w:r>
    </w:p>
    <w:p w:rsidR="00001476" w:rsidRDefault="00001476" w:rsidP="00001476">
      <w:pPr>
        <w:spacing w:after="120"/>
        <w:jc w:val="both"/>
        <w:rPr>
          <w:b/>
          <w:sz w:val="22"/>
          <w:szCs w:val="22"/>
          <w:lang w:val="en-US"/>
        </w:rPr>
      </w:pPr>
    </w:p>
    <w:p w:rsidR="00001476" w:rsidRPr="00001476" w:rsidRDefault="00001476" w:rsidP="00001476">
      <w:pPr>
        <w:spacing w:after="120"/>
        <w:jc w:val="center"/>
        <w:rPr>
          <w:sz w:val="22"/>
          <w:szCs w:val="22"/>
          <w:lang w:val="en-US"/>
        </w:rPr>
      </w:pPr>
      <w:r>
        <w:rPr>
          <w:sz w:val="22"/>
          <w:szCs w:val="22"/>
          <w:lang w:val="en-US"/>
        </w:rPr>
        <w:t>Graph 7</w:t>
      </w:r>
      <w:r w:rsidRPr="00001476">
        <w:rPr>
          <w:sz w:val="22"/>
          <w:szCs w:val="22"/>
          <w:lang w:val="en-US"/>
        </w:rPr>
        <w:t xml:space="preserve"> EU-27 Energy Dependency Rate (Eurostat, 2013)</w:t>
      </w:r>
    </w:p>
    <w:p w:rsidR="009F1FFF" w:rsidRPr="009F1FFF" w:rsidRDefault="009F1FFF" w:rsidP="009F1FFF">
      <w:pPr>
        <w:spacing w:after="120"/>
        <w:jc w:val="both"/>
        <w:rPr>
          <w:lang w:val="en-US"/>
        </w:rPr>
      </w:pPr>
      <w:r w:rsidRPr="009F1FFF">
        <w:rPr>
          <w:noProof/>
          <w:color w:val="0000FF"/>
          <w:lang w:val="en-US"/>
        </w:rPr>
        <w:drawing>
          <wp:inline distT="0" distB="0" distL="0" distR="0" wp14:anchorId="472907AD" wp14:editId="0C1854E9">
            <wp:extent cx="5495925" cy="2509520"/>
            <wp:effectExtent l="0" t="0" r="0" b="0"/>
            <wp:docPr id="1" name="Resim 1" descr="File:Energy dependency rate - all products, 2010 (% of net imports in gross inland consumption and bunkers, based on tonnes of oil equivalent).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le:Energy dependency rate - all products, 2010 (% of net imports in gross inland consumption and bunkers, based on tonnes of oil equivalent).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95925" cy="2509520"/>
                    </a:xfrm>
                    <a:prstGeom prst="rect">
                      <a:avLst/>
                    </a:prstGeom>
                    <a:noFill/>
                    <a:ln>
                      <a:noFill/>
                    </a:ln>
                  </pic:spPr>
                </pic:pic>
              </a:graphicData>
            </a:graphic>
          </wp:inline>
        </w:drawing>
      </w:r>
    </w:p>
    <w:p w:rsidR="009F1FFF" w:rsidRPr="009F1FFF" w:rsidRDefault="009F1FFF" w:rsidP="009F1FFF">
      <w:pPr>
        <w:spacing w:after="120"/>
        <w:jc w:val="both"/>
        <w:rPr>
          <w:b/>
          <w:lang w:val="en-US"/>
        </w:rPr>
      </w:pPr>
      <w:r w:rsidRPr="009F1FFF">
        <w:rPr>
          <w:lang w:val="en-US"/>
        </w:rPr>
        <w:lastRenderedPageBreak/>
        <w:t>Turkey has become one of the fastest growing energy markets in the world. Turkey has been experiencing rapid demand growth in all segments of the energy sector for decades. Now Turkey has been the second country, after China, in terms of natural gas and electricity demand increase. Turkey is expected to become one of the most dynamic energy economies of the world in terms of increase in energy demand.</w:t>
      </w:r>
      <w:r w:rsidRPr="009F1FFF">
        <w:rPr>
          <w:color w:val="444444"/>
          <w:sz w:val="23"/>
          <w:szCs w:val="23"/>
          <w:lang w:val="en-US"/>
        </w:rPr>
        <w:t xml:space="preserve"> </w:t>
      </w:r>
      <w:r w:rsidRPr="009F1FFF">
        <w:rPr>
          <w:lang w:val="en-US"/>
        </w:rPr>
        <w:t>The limits of Turkey’s domestic energy sources in light of its growing energy demand have resulted in dependency on energy imports, primarily of oil and gas. At present, around 26 % of the total energy demand is being met by domestic resources, while the rest is being provided from a diversified portfolio of imports (DB,</w:t>
      </w:r>
      <w:r w:rsidR="00001476">
        <w:rPr>
          <w:lang w:val="en-US"/>
        </w:rPr>
        <w:t xml:space="preserve"> </w:t>
      </w:r>
      <w:r w:rsidRPr="009F1FFF">
        <w:rPr>
          <w:lang w:val="en-US"/>
        </w:rPr>
        <w:t>2013).</w:t>
      </w:r>
    </w:p>
    <w:p w:rsidR="00001476" w:rsidRDefault="009F1FFF" w:rsidP="00001476">
      <w:pPr>
        <w:spacing w:after="150" w:line="330" w:lineRule="atLeast"/>
        <w:jc w:val="both"/>
        <w:rPr>
          <w:lang w:val="en-US"/>
        </w:rPr>
      </w:pPr>
      <w:r w:rsidRPr="009F1FFF">
        <w:rPr>
          <w:lang w:val="en-US"/>
        </w:rPr>
        <w:t>The primary aim of Turkey is to realize its own energy security. To this end, Turkey has for objective to (DB,</w:t>
      </w:r>
      <w:r w:rsidR="00001476">
        <w:rPr>
          <w:lang w:val="en-US"/>
        </w:rPr>
        <w:t xml:space="preserve"> </w:t>
      </w:r>
      <w:r w:rsidRPr="009F1FFF">
        <w:rPr>
          <w:lang w:val="en-US"/>
        </w:rPr>
        <w:t>2013)</w:t>
      </w:r>
      <w:r w:rsidR="00001476">
        <w:rPr>
          <w:lang w:val="en-US"/>
        </w:rPr>
        <w:t>.</w:t>
      </w:r>
    </w:p>
    <w:p w:rsidR="00001476" w:rsidRDefault="009F1FFF" w:rsidP="00001476">
      <w:pPr>
        <w:pStyle w:val="ListeParagraf"/>
        <w:numPr>
          <w:ilvl w:val="0"/>
          <w:numId w:val="1"/>
        </w:numPr>
        <w:spacing w:after="150" w:line="330" w:lineRule="atLeast"/>
        <w:jc w:val="both"/>
        <w:rPr>
          <w:lang w:val="en-US"/>
        </w:rPr>
      </w:pPr>
      <w:r w:rsidRPr="00001476">
        <w:rPr>
          <w:lang w:val="en-US"/>
        </w:rPr>
        <w:t>diversify its energy supply rou</w:t>
      </w:r>
      <w:r w:rsidR="00001476">
        <w:rPr>
          <w:lang w:val="en-US"/>
        </w:rPr>
        <w:t>tes and source countries,</w:t>
      </w:r>
    </w:p>
    <w:p w:rsidR="00001476" w:rsidRDefault="009F1FFF" w:rsidP="00001476">
      <w:pPr>
        <w:pStyle w:val="ListeParagraf"/>
        <w:numPr>
          <w:ilvl w:val="0"/>
          <w:numId w:val="1"/>
        </w:numPr>
        <w:spacing w:after="150" w:line="330" w:lineRule="atLeast"/>
        <w:jc w:val="both"/>
        <w:rPr>
          <w:lang w:val="en-US"/>
        </w:rPr>
      </w:pPr>
      <w:r w:rsidRPr="00001476">
        <w:rPr>
          <w:lang w:val="en-US"/>
        </w:rPr>
        <w:t>increase the share of renewables and include th</w:t>
      </w:r>
      <w:r w:rsidR="00001476">
        <w:rPr>
          <w:lang w:val="en-US"/>
        </w:rPr>
        <w:t xml:space="preserve">e nuclear in its energy mix, </w:t>
      </w:r>
    </w:p>
    <w:p w:rsidR="00001476" w:rsidRDefault="009F1FFF" w:rsidP="00001476">
      <w:pPr>
        <w:pStyle w:val="ListeParagraf"/>
        <w:numPr>
          <w:ilvl w:val="0"/>
          <w:numId w:val="1"/>
        </w:numPr>
        <w:spacing w:after="150" w:line="330" w:lineRule="atLeast"/>
        <w:jc w:val="both"/>
        <w:rPr>
          <w:lang w:val="en-US"/>
        </w:rPr>
      </w:pPr>
      <w:r w:rsidRPr="00001476">
        <w:rPr>
          <w:lang w:val="en-US"/>
        </w:rPr>
        <w:t>take significant steps to</w:t>
      </w:r>
      <w:r w:rsidR="00001476">
        <w:rPr>
          <w:lang w:val="en-US"/>
        </w:rPr>
        <w:t xml:space="preserve"> increase energy efficiency, </w:t>
      </w:r>
    </w:p>
    <w:p w:rsidR="009F1FFF" w:rsidRPr="00001476" w:rsidRDefault="009F1FFF" w:rsidP="00001476">
      <w:pPr>
        <w:pStyle w:val="ListeParagraf"/>
        <w:numPr>
          <w:ilvl w:val="0"/>
          <w:numId w:val="1"/>
        </w:numPr>
        <w:spacing w:after="150" w:line="330" w:lineRule="atLeast"/>
        <w:jc w:val="both"/>
        <w:rPr>
          <w:lang w:val="en-US"/>
        </w:rPr>
      </w:pPr>
      <w:r w:rsidRPr="00001476">
        <w:rPr>
          <w:lang w:val="en-US"/>
        </w:rPr>
        <w:t>Turkey’s role as a reliable transit country on the East-West as well as North-South energy axis</w:t>
      </w:r>
    </w:p>
    <w:p w:rsidR="009F1FFF" w:rsidRDefault="009F1FFF" w:rsidP="009F1FFF">
      <w:pPr>
        <w:spacing w:after="120"/>
        <w:jc w:val="both"/>
        <w:rPr>
          <w:lang w:val="en-US"/>
        </w:rPr>
      </w:pPr>
      <w:r w:rsidRPr="009F1FFF">
        <w:rPr>
          <w:lang w:val="en-US"/>
        </w:rPr>
        <w:t>Turkey is geographically located in close proximity to more than 70% of the world’s proven oil and gas reserves so the importance of Turkey is getting increasing for energy corridor to carry the energy resources to the world market. Especially, considerations that have gained increased significance in today’s Europe. The purpose of forming a natural energy bridge between the source countries and consumer markets that was initiated construction of pipeline projects in Turkey.</w:t>
      </w:r>
    </w:p>
    <w:p w:rsidR="00001476" w:rsidRPr="009F1FFF" w:rsidRDefault="00001476" w:rsidP="009F1FFF">
      <w:pPr>
        <w:spacing w:after="120"/>
        <w:jc w:val="both"/>
        <w:rPr>
          <w:lang w:val="en-US"/>
        </w:rPr>
      </w:pPr>
    </w:p>
    <w:p w:rsidR="009F1FFF" w:rsidRDefault="009F1FFF" w:rsidP="009F1FFF">
      <w:pPr>
        <w:spacing w:after="120"/>
        <w:jc w:val="both"/>
        <w:rPr>
          <w:rStyle w:val="Gl"/>
          <w:lang w:val="en-US"/>
        </w:rPr>
      </w:pPr>
      <w:r w:rsidRPr="009F1FFF">
        <w:rPr>
          <w:rStyle w:val="Gl"/>
          <w:lang w:val="en-US"/>
        </w:rPr>
        <w:t>Turkey’s Role as a Pipeline Projects</w:t>
      </w:r>
    </w:p>
    <w:p w:rsidR="00001476" w:rsidRPr="009F1FFF" w:rsidRDefault="00001476" w:rsidP="009F1FFF">
      <w:pPr>
        <w:spacing w:after="120"/>
        <w:jc w:val="both"/>
        <w:rPr>
          <w:lang w:val="en-US"/>
        </w:rPr>
      </w:pPr>
    </w:p>
    <w:p w:rsidR="009F1FFF" w:rsidRPr="009F1FFF" w:rsidRDefault="00001476" w:rsidP="00F07A71">
      <w:pPr>
        <w:spacing w:after="120"/>
        <w:jc w:val="both"/>
        <w:rPr>
          <w:b/>
          <w:lang w:val="en-US"/>
        </w:rPr>
      </w:pPr>
      <w:r>
        <w:rPr>
          <w:b/>
          <w:lang w:val="en-US"/>
        </w:rPr>
        <w:t xml:space="preserve">1 </w:t>
      </w:r>
      <w:r w:rsidR="009F1FFF" w:rsidRPr="009F1FFF">
        <w:rPr>
          <w:b/>
          <w:lang w:val="en-US"/>
        </w:rPr>
        <w:t>Oil Pipeline</w:t>
      </w:r>
    </w:p>
    <w:p w:rsidR="009F1FFF" w:rsidRPr="009F1FFF" w:rsidRDefault="009F1FFF" w:rsidP="00F07A71">
      <w:pPr>
        <w:spacing w:after="120"/>
        <w:jc w:val="both"/>
        <w:rPr>
          <w:rStyle w:val="Vurgu"/>
          <w:b/>
          <w:bCs/>
          <w:lang w:val="en-US"/>
        </w:rPr>
      </w:pPr>
      <w:r w:rsidRPr="009F1FFF">
        <w:rPr>
          <w:rStyle w:val="Vurgu"/>
          <w:b/>
          <w:bCs/>
          <w:lang w:val="en-US"/>
        </w:rPr>
        <w:t>-Baku-Tbilisi-Ceyhan (BTC) pipeline</w:t>
      </w:r>
    </w:p>
    <w:p w:rsidR="009F1FFF" w:rsidRPr="009F1FFF" w:rsidRDefault="009F1FFF" w:rsidP="00F07A71">
      <w:pPr>
        <w:spacing w:after="120"/>
        <w:jc w:val="both"/>
        <w:rPr>
          <w:lang w:val="en-US"/>
        </w:rPr>
      </w:pPr>
      <w:r w:rsidRPr="009F1FFF">
        <w:rPr>
          <w:lang w:val="en-US"/>
        </w:rPr>
        <w:t>The transportation of oil produced in Caspian Region, especially from Azeri-Chirag- Guneshli (ACG</w:t>
      </w:r>
      <w:r w:rsidR="00001476" w:rsidRPr="009F1FFF">
        <w:rPr>
          <w:lang w:val="en-US"/>
        </w:rPr>
        <w:t>) Project</w:t>
      </w:r>
      <w:r w:rsidRPr="009F1FFF">
        <w:rPr>
          <w:lang w:val="en-US"/>
        </w:rPr>
        <w:t xml:space="preserve"> in Azerbaijan to a terminal at Ceyhan on the Mediterranean coast of Turkey,, in a safe, secure, reliable and environmentally friendly way is continuing through the BTC Project which is the first step of East-West Energy Corridor. </w:t>
      </w:r>
    </w:p>
    <w:p w:rsidR="009F1FFF" w:rsidRPr="009F1FFF" w:rsidRDefault="009F1FFF" w:rsidP="00F07A71">
      <w:pPr>
        <w:pStyle w:val="NormalWeb"/>
        <w:jc w:val="both"/>
        <w:rPr>
          <w:lang w:val="en-US"/>
        </w:rPr>
      </w:pPr>
      <w:r w:rsidRPr="009F1FFF">
        <w:rPr>
          <w:lang w:val="en-US"/>
        </w:rPr>
        <w:t xml:space="preserve">BTC pipeline, which has a capacity of 1 million barrels per day, and at </w:t>
      </w:r>
      <w:smartTag w:uri="urn:schemas-microsoft-com:office:smarttags" w:element="metricconverter">
        <w:smartTagPr>
          <w:attr w:name="ProductID" w:val="1760 kilometers"/>
        </w:smartTagPr>
        <w:r w:rsidRPr="009F1FFF">
          <w:rPr>
            <w:lang w:val="en-US"/>
          </w:rPr>
          <w:t>1760 kilometers</w:t>
        </w:r>
      </w:smartTag>
      <w:r w:rsidRPr="009F1FFF">
        <w:rPr>
          <w:lang w:val="en-US"/>
        </w:rPr>
        <w:t xml:space="preserve"> is the second longest of its kind in the world.</w:t>
      </w:r>
      <w:bookmarkStart w:id="1" w:name="7063296"/>
      <w:bookmarkEnd w:id="1"/>
      <w:r w:rsidRPr="009F1FFF">
        <w:rPr>
          <w:lang w:val="en-US"/>
        </w:rPr>
        <w:t xml:space="preserve"> The first cargo of oil, which had travelled through the BTC pipeline to Ceyhan, has been loaded onto a tanker on 4 June 2006. As of 15 October 2012, over 1.5 billion barrels of Azeri oil was loaded to tankers from Ceyhan and shipped to international markets (DB,</w:t>
      </w:r>
      <w:r w:rsidR="00001476">
        <w:rPr>
          <w:lang w:val="en-US"/>
        </w:rPr>
        <w:t xml:space="preserve"> </w:t>
      </w:r>
      <w:r w:rsidRPr="009F1FFF">
        <w:rPr>
          <w:lang w:val="en-US"/>
        </w:rPr>
        <w:t>2013).</w:t>
      </w:r>
    </w:p>
    <w:p w:rsidR="009F1FFF" w:rsidRPr="00F07A71" w:rsidRDefault="009F1FFF" w:rsidP="00F07A71">
      <w:pPr>
        <w:pStyle w:val="NormalWeb"/>
        <w:jc w:val="both"/>
        <w:rPr>
          <w:i/>
          <w:lang w:val="en-US"/>
        </w:rPr>
      </w:pPr>
      <w:r w:rsidRPr="00F07A71">
        <w:rPr>
          <w:rStyle w:val="Gl"/>
          <w:i/>
          <w:lang w:val="en-US"/>
        </w:rPr>
        <w:t xml:space="preserve">-Iraq - Turkey (Kirkuk – Yumurtalık) Crude Oil Pipeline </w:t>
      </w:r>
    </w:p>
    <w:p w:rsidR="009F1FFF" w:rsidRPr="009F1FFF" w:rsidRDefault="009F1FFF" w:rsidP="00F07A71">
      <w:pPr>
        <w:spacing w:after="120"/>
        <w:jc w:val="both"/>
        <w:rPr>
          <w:lang w:val="en-US"/>
        </w:rPr>
      </w:pPr>
      <w:r w:rsidRPr="009F1FFF">
        <w:rPr>
          <w:lang w:val="en-US"/>
        </w:rPr>
        <w:t xml:space="preserve">It transports the oil produced in Kirkuk and other areas of Iraq to the Ceyhan Marine Terminal. The pipeline system </w:t>
      </w:r>
      <w:r w:rsidR="00F07A71">
        <w:rPr>
          <w:lang w:val="en-US"/>
        </w:rPr>
        <w:t xml:space="preserve">is </w:t>
      </w:r>
      <w:r w:rsidRPr="009F1FFF">
        <w:rPr>
          <w:lang w:val="en-US"/>
        </w:rPr>
        <w:t xml:space="preserve">with an annual transport capacity of 35 Million tons in 1976. The capacity of the line was increased to 46.5 Million tons/year in 1984. With the completion of the second pipeline, parallel to the first one, the annual capacity reached 70.9 million tons as of 1987. Turkey has concluded the negotiations with the Iraqi side </w:t>
      </w:r>
      <w:r w:rsidRPr="009F1FFF">
        <w:rPr>
          <w:lang w:val="en-US"/>
        </w:rPr>
        <w:lastRenderedPageBreak/>
        <w:t>aiming at extending the duration of the transportation agreement via this pipeline on 19 September 2010 (DB,</w:t>
      </w:r>
      <w:r w:rsidR="00F07A71">
        <w:rPr>
          <w:lang w:val="en-US"/>
        </w:rPr>
        <w:t xml:space="preserve"> </w:t>
      </w:r>
      <w:r w:rsidRPr="009F1FFF">
        <w:rPr>
          <w:lang w:val="en-US"/>
        </w:rPr>
        <w:t>2013).</w:t>
      </w:r>
    </w:p>
    <w:p w:rsidR="009F1FFF" w:rsidRPr="009F1FFF" w:rsidRDefault="009F1FFF" w:rsidP="009F1FFF">
      <w:pPr>
        <w:spacing w:after="120"/>
        <w:jc w:val="both"/>
        <w:rPr>
          <w:lang w:val="en-US"/>
        </w:rPr>
      </w:pPr>
    </w:p>
    <w:p w:rsidR="009F1FFF" w:rsidRPr="009F1FFF" w:rsidRDefault="00F07A71" w:rsidP="009F1FFF">
      <w:pPr>
        <w:spacing w:after="120"/>
        <w:jc w:val="both"/>
        <w:rPr>
          <w:b/>
          <w:lang w:val="en-US"/>
        </w:rPr>
      </w:pPr>
      <w:r>
        <w:rPr>
          <w:b/>
          <w:lang w:val="en-US"/>
        </w:rPr>
        <w:t xml:space="preserve">2 </w:t>
      </w:r>
      <w:r w:rsidR="009F1FFF" w:rsidRPr="009F1FFF">
        <w:rPr>
          <w:b/>
          <w:lang w:val="en-US"/>
        </w:rPr>
        <w:t>Natural Gas Pipeline</w:t>
      </w:r>
    </w:p>
    <w:p w:rsidR="009F1FFF" w:rsidRPr="00F07A71" w:rsidRDefault="009F1FFF" w:rsidP="00F07A71">
      <w:pPr>
        <w:spacing w:after="120"/>
        <w:jc w:val="both"/>
        <w:rPr>
          <w:b/>
          <w:i/>
          <w:lang w:val="en-US"/>
        </w:rPr>
      </w:pPr>
      <w:r w:rsidRPr="00F07A71">
        <w:rPr>
          <w:b/>
          <w:i/>
          <w:lang w:val="en-US"/>
        </w:rPr>
        <w:t>- Blue Stream Gas</w:t>
      </w:r>
    </w:p>
    <w:p w:rsidR="009F1FFF" w:rsidRPr="009F1FFF" w:rsidRDefault="009F1FFF" w:rsidP="00F07A71">
      <w:pPr>
        <w:spacing w:after="120"/>
        <w:jc w:val="both"/>
        <w:rPr>
          <w:lang w:val="en-US"/>
        </w:rPr>
      </w:pPr>
      <w:r w:rsidRPr="009F1FFF">
        <w:rPr>
          <w:lang w:val="en-US"/>
        </w:rPr>
        <w:t>The Blue Stream gas pipeline is designed to supply Russian gas directly to Turkey via the Black Sea. The Blue Stream supplements the gas transportation corridor from Russia to Turkey. Pipeline’s construction was completed and natural gas supplies through Blue Stream began in February 2003.</w:t>
      </w:r>
    </w:p>
    <w:p w:rsidR="009F1FFF" w:rsidRPr="009F1FFF" w:rsidRDefault="009F1FFF" w:rsidP="00F07A71">
      <w:pPr>
        <w:spacing w:after="120"/>
        <w:jc w:val="both"/>
        <w:rPr>
          <w:lang w:val="en-US"/>
        </w:rPr>
      </w:pPr>
      <w:r w:rsidRPr="009F1FFF">
        <w:rPr>
          <w:lang w:val="en-US"/>
        </w:rPr>
        <w:t xml:space="preserve">The total length of the Blue Stream pipeline is </w:t>
      </w:r>
      <w:smartTag w:uri="urn:schemas-microsoft-com:office:smarttags" w:element="metricconverter">
        <w:smartTagPr>
          <w:attr w:name="ProductID" w:val="1213 km"/>
        </w:smartTagPr>
        <w:r w:rsidRPr="009F1FFF">
          <w:rPr>
            <w:lang w:val="en-US"/>
          </w:rPr>
          <w:t>1213 km</w:t>
        </w:r>
      </w:smartTag>
      <w:r w:rsidRPr="009F1FFF">
        <w:rPr>
          <w:lang w:val="en-US"/>
        </w:rPr>
        <w:t>, design capacity 16 billion cubic meters of gas a year. At the end of 2010 the total volume of gas delivered through Blue Stream exceeded 54.5 billion cubic meters of gas (GASPROM, 2013).</w:t>
      </w:r>
    </w:p>
    <w:p w:rsidR="009F1FFF" w:rsidRPr="00F07A71" w:rsidRDefault="009F1FFF" w:rsidP="00F07A71">
      <w:pPr>
        <w:pStyle w:val="NormalWeb"/>
        <w:jc w:val="both"/>
        <w:rPr>
          <w:i/>
          <w:lang w:val="en-US"/>
        </w:rPr>
      </w:pPr>
      <w:r w:rsidRPr="00F07A71">
        <w:rPr>
          <w:rStyle w:val="Gl"/>
          <w:i/>
          <w:lang w:val="en-US"/>
        </w:rPr>
        <w:t>- South Caucasus Natural Gas Pipeline (SCP) Project</w:t>
      </w:r>
    </w:p>
    <w:p w:rsidR="009F1FFF" w:rsidRPr="009F1FFF" w:rsidRDefault="009F1FFF" w:rsidP="00F07A71">
      <w:pPr>
        <w:pStyle w:val="NormalWeb"/>
        <w:jc w:val="both"/>
        <w:rPr>
          <w:lang w:val="en-US"/>
        </w:rPr>
      </w:pPr>
      <w:r w:rsidRPr="009F1FFF">
        <w:rPr>
          <w:lang w:val="en-US"/>
        </w:rPr>
        <w:t xml:space="preserve">Within the scope of SCP Project, Shah Deniz natural gas is being transported to Georgian- Turkish border. The SCP passing through the same corridor with BTC is about </w:t>
      </w:r>
      <w:smartTag w:uri="urn:schemas-microsoft-com:office:smarttags" w:element="metricconverter">
        <w:smartTagPr>
          <w:attr w:name="ProductID" w:val="690 km"/>
        </w:smartTagPr>
        <w:r w:rsidRPr="009F1FFF">
          <w:rPr>
            <w:lang w:val="en-US"/>
          </w:rPr>
          <w:t>690 km</w:t>
        </w:r>
      </w:smartTag>
      <w:r w:rsidRPr="009F1FFF">
        <w:rPr>
          <w:lang w:val="en-US"/>
        </w:rPr>
        <w:t xml:space="preserve"> in length. After commencement of the construction of the pipeline physically in 2004, construction activities have been completed. In parallel with the production activities of Shah Deniz, continuous gas transportation was started on March 7th, 2007. The pipeline having an investment cost of 1.4 billion USD, is transporting natural gas through Azerbaijan, Georgia, Türkiye and BTC’s pump stations in Azerbaijan and Georgia. The pipeline has a transportation capacity of 9 billion m3 of natural gas to Turkish border with one compressor station in Sangachal Terminal in line with the terms of AGSC-BOTAŞ Sales and Purchasing Agreement (SPA). However, it is possible to expand this capacity up to 22 billion m3 in a year by adding new compressor stations and/or looping. In 2010, totally 6.8 billion m3 natural gas was transported and 4.4 billion m3 of this amount was sold to BOTAŞ (TP, 2013)</w:t>
      </w:r>
    </w:p>
    <w:p w:rsidR="009F1FFF" w:rsidRPr="00F07A71" w:rsidRDefault="009F1FFF" w:rsidP="00F07A71">
      <w:pPr>
        <w:pStyle w:val="NormalWeb"/>
        <w:spacing w:line="180" w:lineRule="atLeast"/>
        <w:jc w:val="both"/>
        <w:rPr>
          <w:i/>
          <w:lang w:val="en-US"/>
        </w:rPr>
      </w:pPr>
      <w:r w:rsidRPr="00F07A71">
        <w:rPr>
          <w:rStyle w:val="Gl"/>
          <w:i/>
          <w:lang w:val="en-US"/>
        </w:rPr>
        <w:t>- Baku-Tbilisi-Erzurum (BTE) Natural Gas Pipeline</w:t>
      </w:r>
      <w:r w:rsidRPr="00F07A71">
        <w:rPr>
          <w:i/>
          <w:lang w:val="en-US"/>
        </w:rPr>
        <w:t xml:space="preserve">, </w:t>
      </w:r>
    </w:p>
    <w:p w:rsidR="009F1FFF" w:rsidRPr="009F1FFF" w:rsidRDefault="009F1FFF" w:rsidP="009F1FFF">
      <w:pPr>
        <w:pStyle w:val="NormalWeb"/>
        <w:spacing w:line="180" w:lineRule="atLeast"/>
        <w:jc w:val="both"/>
        <w:rPr>
          <w:lang w:val="en-US"/>
        </w:rPr>
      </w:pPr>
      <w:r w:rsidRPr="009F1FFF">
        <w:rPr>
          <w:lang w:val="en-US"/>
        </w:rPr>
        <w:t xml:space="preserve">It has become operational as of 3 July 2007. Designed to transport natural gas from the Shah Deniz field in the Azerbaijan sector of the Caspian Sea, through Georgia to Turkey, it is envisaged that the pipeline will export 6,6 billion cubic meters a year according to the Agreement between our country and Azerbaijan for Shah Deniz Phase I. As for Phase II, a common understanding was reached between the parties on 7 June </w:t>
      </w:r>
      <w:smartTag w:uri="urn:schemas-microsoft-com:office:smarttags" w:element="metricconverter">
        <w:smartTagPr>
          <w:attr w:name="ProductID" w:val="2010 in"/>
        </w:smartTagPr>
        <w:r w:rsidRPr="009F1FFF">
          <w:rPr>
            <w:lang w:val="en-US"/>
          </w:rPr>
          <w:t>2010 in</w:t>
        </w:r>
      </w:smartTag>
      <w:r w:rsidRPr="009F1FFF">
        <w:rPr>
          <w:lang w:val="en-US"/>
        </w:rPr>
        <w:t xml:space="preserve"> Istanbul in terms of both Azeri natural gas amount to be exported by Turkey, and Azeri natural gas amount to be exported to Europe via Turkey, and also price and transit tariffs.</w:t>
      </w:r>
    </w:p>
    <w:p w:rsidR="00F07A71" w:rsidRDefault="00F07A71" w:rsidP="009F1FFF">
      <w:pPr>
        <w:spacing w:after="120"/>
        <w:rPr>
          <w:b/>
          <w:bCs/>
          <w:lang w:val="en-US"/>
        </w:rPr>
      </w:pPr>
    </w:p>
    <w:p w:rsidR="009F1FFF" w:rsidRDefault="009F1FFF" w:rsidP="009F1FFF">
      <w:pPr>
        <w:spacing w:after="120"/>
        <w:rPr>
          <w:b/>
          <w:bCs/>
          <w:lang w:val="en-US"/>
        </w:rPr>
      </w:pPr>
      <w:r w:rsidRPr="009F1FFF">
        <w:rPr>
          <w:b/>
          <w:bCs/>
          <w:lang w:val="en-US"/>
        </w:rPr>
        <w:t>Methodology and Data</w:t>
      </w:r>
    </w:p>
    <w:p w:rsidR="00F07A71" w:rsidRPr="009F1FFF" w:rsidRDefault="00F07A71" w:rsidP="009F1FFF">
      <w:pPr>
        <w:spacing w:after="120"/>
        <w:rPr>
          <w:b/>
          <w:bCs/>
          <w:lang w:val="en-US"/>
        </w:rPr>
      </w:pPr>
    </w:p>
    <w:p w:rsidR="009F1FFF" w:rsidRPr="009F1FFF" w:rsidRDefault="009F1FFF" w:rsidP="009F1FFF">
      <w:pPr>
        <w:autoSpaceDE w:val="0"/>
        <w:autoSpaceDN w:val="0"/>
        <w:adjustRightInd w:val="0"/>
        <w:spacing w:after="120"/>
        <w:jc w:val="both"/>
        <w:rPr>
          <w:lang w:val="en-US"/>
        </w:rPr>
      </w:pPr>
      <w:r w:rsidRPr="009F1FFF">
        <w:rPr>
          <w:lang w:val="en-US"/>
        </w:rPr>
        <w:t xml:space="preserve">The time series </w:t>
      </w:r>
      <w:r w:rsidR="00F07A71" w:rsidRPr="009F1FFF">
        <w:rPr>
          <w:lang w:val="en-US"/>
        </w:rPr>
        <w:t>analyses have</w:t>
      </w:r>
      <w:r w:rsidRPr="009F1FFF">
        <w:rPr>
          <w:lang w:val="en-US"/>
        </w:rPr>
        <w:t xml:space="preserve"> suggested some improvements in the standard Granger test. The first step is to check for the </w:t>
      </w:r>
      <w:r w:rsidR="00F07A71" w:rsidRPr="009F1FFF">
        <w:rPr>
          <w:lang w:val="en-US"/>
        </w:rPr>
        <w:t>stationary</w:t>
      </w:r>
      <w:r w:rsidRPr="009F1FFF">
        <w:rPr>
          <w:lang w:val="en-US"/>
        </w:rPr>
        <w:t xml:space="preserve"> of the original variables and then test co</w:t>
      </w:r>
      <w:r w:rsidR="00F07A71">
        <w:rPr>
          <w:lang w:val="en-US"/>
        </w:rPr>
        <w:t>-</w:t>
      </w:r>
      <w:r w:rsidRPr="009F1FFF">
        <w:rPr>
          <w:lang w:val="en-US"/>
        </w:rPr>
        <w:t>integration between them. According to Granger (1986), the test is valid if the variables are not co</w:t>
      </w:r>
      <w:r w:rsidR="00F07A71">
        <w:rPr>
          <w:lang w:val="en-US"/>
        </w:rPr>
        <w:t>-</w:t>
      </w:r>
      <w:r w:rsidRPr="009F1FFF">
        <w:rPr>
          <w:lang w:val="en-US"/>
        </w:rPr>
        <w:t xml:space="preserve">integrated. Second, the results of Granger causality are very sensitive to the </w:t>
      </w:r>
      <w:r w:rsidRPr="009F1FFF">
        <w:rPr>
          <w:lang w:val="en-US"/>
        </w:rPr>
        <w:lastRenderedPageBreak/>
        <w:t xml:space="preserve">selection of lag length. We </w:t>
      </w:r>
      <w:r w:rsidR="00F07A71" w:rsidRPr="009F1FFF">
        <w:rPr>
          <w:lang w:val="en-US"/>
        </w:rPr>
        <w:t>chose</w:t>
      </w:r>
      <w:r w:rsidRPr="009F1FFF">
        <w:rPr>
          <w:lang w:val="en-US"/>
        </w:rPr>
        <w:t xml:space="preserve"> lag length is used to the Akaike’s Final Prediction Error (Aqeel and Butt, 2001,</w:t>
      </w:r>
      <w:r w:rsidR="00F07A71">
        <w:rPr>
          <w:lang w:val="en-US"/>
        </w:rPr>
        <w:t xml:space="preserve"> </w:t>
      </w:r>
      <w:r w:rsidRPr="009F1FFF">
        <w:rPr>
          <w:lang w:val="en-US"/>
        </w:rPr>
        <w:t>103).</w:t>
      </w:r>
    </w:p>
    <w:p w:rsidR="009F1FFF" w:rsidRPr="009F1FFF" w:rsidRDefault="009F1FFF" w:rsidP="009F1FFF">
      <w:pPr>
        <w:autoSpaceDE w:val="0"/>
        <w:autoSpaceDN w:val="0"/>
        <w:adjustRightInd w:val="0"/>
        <w:spacing w:after="120"/>
        <w:jc w:val="both"/>
        <w:rPr>
          <w:lang w:val="en-US"/>
        </w:rPr>
      </w:pPr>
      <w:r w:rsidRPr="009F1FFF">
        <w:rPr>
          <w:lang w:val="en-US"/>
        </w:rPr>
        <w:t>The basic model relates economic growth to energy consumption. The model is:</w:t>
      </w:r>
    </w:p>
    <w:p w:rsidR="009F1FFF" w:rsidRPr="009F1FFF" w:rsidRDefault="009F1FFF" w:rsidP="009F1FFF">
      <w:pPr>
        <w:autoSpaceDE w:val="0"/>
        <w:autoSpaceDN w:val="0"/>
        <w:adjustRightInd w:val="0"/>
        <w:spacing w:after="120"/>
        <w:ind w:firstLine="1620"/>
        <w:jc w:val="both"/>
        <w:rPr>
          <w:lang w:val="en-US"/>
        </w:rPr>
      </w:pPr>
      <w:r w:rsidRPr="009F1FFF">
        <w:rPr>
          <w:lang w:val="en-US"/>
        </w:rPr>
        <w:t>log Y = f(log Xi)                                                            (1)</w:t>
      </w:r>
    </w:p>
    <w:p w:rsidR="009F1FFF" w:rsidRDefault="009F1FFF" w:rsidP="009F1FFF">
      <w:pPr>
        <w:autoSpaceDE w:val="0"/>
        <w:autoSpaceDN w:val="0"/>
        <w:adjustRightInd w:val="0"/>
        <w:spacing w:after="120"/>
        <w:jc w:val="both"/>
        <w:rPr>
          <w:lang w:val="en-US"/>
        </w:rPr>
      </w:pPr>
      <w:r w:rsidRPr="009F1FFF">
        <w:rPr>
          <w:lang w:val="en-US"/>
        </w:rPr>
        <w:t xml:space="preserve">Y is GDP and X is primary energy consumption. All the variables are in per capita log form. The relevant data were available for the period </w:t>
      </w:r>
      <w:r w:rsidRPr="009F1FFF">
        <w:rPr>
          <w:b/>
          <w:lang w:val="en-US"/>
        </w:rPr>
        <w:t>1975-2011</w:t>
      </w:r>
      <w:r w:rsidRPr="009F1FFF">
        <w:rPr>
          <w:lang w:val="en-US"/>
        </w:rPr>
        <w:t xml:space="preserve"> from </w:t>
      </w:r>
      <w:r w:rsidR="00F07A71" w:rsidRPr="009F1FFF">
        <w:rPr>
          <w:lang w:val="en-US"/>
        </w:rPr>
        <w:t>Republic</w:t>
      </w:r>
      <w:r w:rsidRPr="009F1FFF">
        <w:rPr>
          <w:lang w:val="en-US"/>
        </w:rPr>
        <w:t xml:space="preserve"> of Turkey Ministry of Energy and Natural Resources. The procedures to estimate the model are discussed below.</w:t>
      </w:r>
    </w:p>
    <w:p w:rsidR="00F07A71" w:rsidRPr="00F07A71" w:rsidRDefault="00F07A71" w:rsidP="009F1FFF">
      <w:pPr>
        <w:autoSpaceDE w:val="0"/>
        <w:autoSpaceDN w:val="0"/>
        <w:adjustRightInd w:val="0"/>
        <w:spacing w:after="120"/>
        <w:jc w:val="both"/>
        <w:rPr>
          <w:sz w:val="6"/>
          <w:lang w:val="en-US"/>
        </w:rPr>
      </w:pPr>
    </w:p>
    <w:p w:rsidR="009F1FFF" w:rsidRDefault="009F1FFF" w:rsidP="009F1FFF">
      <w:pPr>
        <w:autoSpaceDE w:val="0"/>
        <w:autoSpaceDN w:val="0"/>
        <w:adjustRightInd w:val="0"/>
        <w:rPr>
          <w:b/>
          <w:i/>
          <w:lang w:val="en-US"/>
        </w:rPr>
      </w:pPr>
      <w:r w:rsidRPr="00F07A71">
        <w:rPr>
          <w:b/>
          <w:i/>
          <w:lang w:val="en-US"/>
        </w:rPr>
        <w:t>- Engle-Granger Test</w:t>
      </w:r>
    </w:p>
    <w:p w:rsidR="00F07A71" w:rsidRPr="00F07A71" w:rsidRDefault="00F07A71" w:rsidP="009F1FFF">
      <w:pPr>
        <w:autoSpaceDE w:val="0"/>
        <w:autoSpaceDN w:val="0"/>
        <w:adjustRightInd w:val="0"/>
        <w:rPr>
          <w:b/>
          <w:i/>
          <w:sz w:val="14"/>
          <w:lang w:val="en-US"/>
        </w:rPr>
      </w:pPr>
    </w:p>
    <w:p w:rsidR="009F1FFF" w:rsidRDefault="009F1FFF" w:rsidP="009F1FFF">
      <w:pPr>
        <w:pStyle w:val="Altbilgi"/>
        <w:tabs>
          <w:tab w:val="left" w:pos="7380"/>
        </w:tabs>
        <w:jc w:val="both"/>
        <w:rPr>
          <w:lang w:val="en-US"/>
        </w:rPr>
      </w:pPr>
      <w:r w:rsidRPr="009F1FFF">
        <w:rPr>
          <w:lang w:val="en-US"/>
        </w:rPr>
        <w:t>The aim is to explore the existence of a long-run relationship between the variables namely, trade openness and income inequality. To do so, we use Engle-Granger’s (1988) two step procedure.  First, co</w:t>
      </w:r>
      <w:r w:rsidR="00F07A71">
        <w:rPr>
          <w:lang w:val="en-US"/>
        </w:rPr>
        <w:t>-</w:t>
      </w:r>
      <w:r w:rsidRPr="009F1FFF">
        <w:rPr>
          <w:lang w:val="en-US"/>
        </w:rPr>
        <w:t>integrated regressions are estimated by the Ordinary Least Squares (OLS) method (Örnek and Elveren,</w:t>
      </w:r>
      <w:r w:rsidR="00F07A71">
        <w:rPr>
          <w:lang w:val="en-US"/>
        </w:rPr>
        <w:t xml:space="preserve"> </w:t>
      </w:r>
      <w:r w:rsidRPr="009F1FFF">
        <w:rPr>
          <w:lang w:val="en-US"/>
        </w:rPr>
        <w:t xml:space="preserve">2010:66):  </w:t>
      </w:r>
    </w:p>
    <w:p w:rsidR="00F07A71" w:rsidRPr="009F1FFF" w:rsidRDefault="00F07A71" w:rsidP="009F1FFF">
      <w:pPr>
        <w:pStyle w:val="Altbilgi"/>
        <w:tabs>
          <w:tab w:val="left" w:pos="7380"/>
        </w:tabs>
        <w:jc w:val="both"/>
        <w:rPr>
          <w:lang w:val="en-US"/>
        </w:rPr>
      </w:pPr>
    </w:p>
    <w:p w:rsidR="009F1FFF" w:rsidRPr="009F1FFF" w:rsidRDefault="009F1FFF" w:rsidP="009F1FFF">
      <w:pPr>
        <w:pStyle w:val="Altbilgi"/>
        <w:jc w:val="both"/>
        <w:rPr>
          <w:lang w:val="en-US"/>
        </w:rPr>
      </w:pPr>
      <w:r w:rsidRPr="009F1FFF">
        <w:rPr>
          <w:lang w:val="en-US"/>
        </w:rPr>
        <w:tab/>
      </w:r>
      <w:r w:rsidRPr="009F1FFF">
        <w:rPr>
          <w:position w:val="-12"/>
          <w:lang w:val="en-US"/>
        </w:rPr>
        <w:object w:dxaOrig="19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25pt;height:18pt" o:ole="">
            <v:imagedata r:id="rId18" o:title=""/>
          </v:shape>
          <o:OLEObject Type="Embed" ProgID="Equation.3" ShapeID="_x0000_i1025" DrawAspect="Content" ObjectID="_1434448041" r:id="rId19"/>
        </w:object>
      </w:r>
      <w:r w:rsidRPr="009F1FFF">
        <w:rPr>
          <w:lang w:val="en-US"/>
        </w:rPr>
        <w:t xml:space="preserve">                                                                      (2)                    </w:t>
      </w:r>
    </w:p>
    <w:p w:rsidR="009F1FFF" w:rsidRPr="009F1FFF" w:rsidRDefault="009F1FFF" w:rsidP="009F1FFF">
      <w:pPr>
        <w:pStyle w:val="Altbilgi"/>
        <w:jc w:val="both"/>
        <w:rPr>
          <w:lang w:val="en-US"/>
        </w:rPr>
      </w:pPr>
      <w:r w:rsidRPr="009F1FFF">
        <w:rPr>
          <w:lang w:val="en-US"/>
        </w:rPr>
        <w:tab/>
      </w:r>
      <w:r w:rsidRPr="009F1FFF">
        <w:rPr>
          <w:position w:val="-12"/>
          <w:lang w:val="en-US"/>
        </w:rPr>
        <w:object w:dxaOrig="1860" w:dyaOrig="380">
          <v:shape id="_x0000_i1026" type="#_x0000_t75" style="width:93pt;height:18.75pt" o:ole="">
            <v:imagedata r:id="rId20" o:title=""/>
          </v:shape>
          <o:OLEObject Type="Embed" ProgID="Equation.3" ShapeID="_x0000_i1026" DrawAspect="Content" ObjectID="_1434448042" r:id="rId21"/>
        </w:object>
      </w:r>
      <w:r w:rsidRPr="009F1FFF">
        <w:rPr>
          <w:lang w:val="en-US"/>
        </w:rPr>
        <w:t xml:space="preserve">                                                                       (3) </w:t>
      </w:r>
    </w:p>
    <w:p w:rsidR="009F1FFF" w:rsidRPr="009F1FFF" w:rsidRDefault="00F07A71" w:rsidP="009F1FFF">
      <w:pPr>
        <w:pStyle w:val="Altbilgi"/>
        <w:jc w:val="both"/>
        <w:rPr>
          <w:lang w:val="en-US"/>
        </w:rPr>
      </w:pPr>
      <w:r w:rsidRPr="009F1FFF">
        <w:rPr>
          <w:lang w:val="en-US"/>
        </w:rPr>
        <w:t>Where</w:t>
      </w:r>
      <w:r w:rsidR="009F1FFF" w:rsidRPr="009F1FFF">
        <w:rPr>
          <w:lang w:val="en-US"/>
        </w:rPr>
        <w:t xml:space="preserve"> </w:t>
      </w:r>
      <w:r w:rsidR="009F1FFF" w:rsidRPr="009F1FFF">
        <w:rPr>
          <w:position w:val="-12"/>
          <w:lang w:val="en-US"/>
        </w:rPr>
        <w:object w:dxaOrig="300" w:dyaOrig="360">
          <v:shape id="_x0000_i1027" type="#_x0000_t75" style="width:15pt;height:18pt" o:ole="">
            <v:imagedata r:id="rId22" o:title=""/>
          </v:shape>
          <o:OLEObject Type="Embed" ProgID="Equation.3" ShapeID="_x0000_i1027" DrawAspect="Content" ObjectID="_1434448043" r:id="rId23"/>
        </w:object>
      </w:r>
      <w:r w:rsidR="009F1FFF" w:rsidRPr="009F1FFF">
        <w:rPr>
          <w:lang w:val="en-US"/>
        </w:rPr>
        <w:t xml:space="preserve">and </w:t>
      </w:r>
      <w:r w:rsidR="009F1FFF" w:rsidRPr="009F1FFF">
        <w:rPr>
          <w:position w:val="-10"/>
          <w:lang w:val="en-US"/>
        </w:rPr>
        <w:object w:dxaOrig="260" w:dyaOrig="340">
          <v:shape id="_x0000_i1028" type="#_x0000_t75" style="width:12.75pt;height:17.25pt" o:ole="">
            <v:imagedata r:id="rId24" o:title=""/>
          </v:shape>
          <o:OLEObject Type="Embed" ProgID="Equation.3" ShapeID="_x0000_i1028" DrawAspect="Content" ObjectID="_1434448044" r:id="rId25"/>
        </w:object>
      </w:r>
      <w:r w:rsidR="009F1FFF" w:rsidRPr="009F1FFF">
        <w:rPr>
          <w:lang w:val="en-US"/>
        </w:rPr>
        <w:t xml:space="preserve"> are constants, and </w:t>
      </w:r>
      <w:r w:rsidR="009F1FFF" w:rsidRPr="009F1FFF">
        <w:rPr>
          <w:position w:val="-12"/>
          <w:lang w:val="en-US"/>
        </w:rPr>
        <w:object w:dxaOrig="279" w:dyaOrig="360">
          <v:shape id="_x0000_i1029" type="#_x0000_t75" style="width:14.25pt;height:18pt" o:ole="">
            <v:imagedata r:id="rId26" o:title=""/>
          </v:shape>
          <o:OLEObject Type="Embed" ProgID="Equation.3" ShapeID="_x0000_i1029" DrawAspect="Content" ObjectID="_1434448045" r:id="rId27"/>
        </w:object>
      </w:r>
      <w:r w:rsidR="009F1FFF" w:rsidRPr="009F1FFF">
        <w:rPr>
          <w:lang w:val="en-US"/>
        </w:rPr>
        <w:t xml:space="preserve"> and </w:t>
      </w:r>
      <w:r w:rsidR="009F1FFF" w:rsidRPr="009F1FFF">
        <w:rPr>
          <w:position w:val="-12"/>
          <w:lang w:val="en-US"/>
        </w:rPr>
        <w:object w:dxaOrig="279" w:dyaOrig="380">
          <v:shape id="_x0000_i1030" type="#_x0000_t75" style="width:14.25pt;height:18.75pt" o:ole="">
            <v:imagedata r:id="rId28" o:title=""/>
          </v:shape>
          <o:OLEObject Type="Embed" ProgID="Equation.3" ShapeID="_x0000_i1030" DrawAspect="Content" ObjectID="_1434448046" r:id="rId29"/>
        </w:object>
      </w:r>
      <w:r w:rsidR="009F1FFF" w:rsidRPr="009F1FFF">
        <w:rPr>
          <w:lang w:val="en-US"/>
        </w:rPr>
        <w:t xml:space="preserve"> are error terms. In the paper, first, it is tested whether the series are co</w:t>
      </w:r>
      <w:r>
        <w:rPr>
          <w:lang w:val="en-US"/>
        </w:rPr>
        <w:t>-</w:t>
      </w:r>
      <w:r w:rsidR="009F1FFF" w:rsidRPr="009F1FFF">
        <w:rPr>
          <w:lang w:val="en-US"/>
        </w:rPr>
        <w:t xml:space="preserve">integrated or not, and then, in the second step, using the Error Correction Model (ECM) we apply the Granger Causality Test for variables based on the significance of coefficients of the error terms. The ECM can be formulized as following  </w:t>
      </w:r>
    </w:p>
    <w:p w:rsidR="009F1FFF" w:rsidRPr="009F1FFF" w:rsidRDefault="009F1FFF" w:rsidP="009F1FFF">
      <w:pPr>
        <w:pStyle w:val="Altbilgi"/>
        <w:jc w:val="both"/>
        <w:rPr>
          <w:lang w:val="en-US"/>
        </w:rPr>
      </w:pPr>
      <w:r w:rsidRPr="009F1FFF">
        <w:rPr>
          <w:lang w:val="en-US"/>
        </w:rPr>
        <w:tab/>
      </w:r>
      <w:r w:rsidRPr="009F1FFF">
        <w:rPr>
          <w:position w:val="-30"/>
          <w:lang w:val="en-US"/>
        </w:rPr>
        <w:object w:dxaOrig="4760" w:dyaOrig="700">
          <v:shape id="_x0000_i1031" type="#_x0000_t75" style="width:237.75pt;height:35.25pt" o:ole="">
            <v:imagedata r:id="rId30" o:title=""/>
          </v:shape>
          <o:OLEObject Type="Embed" ProgID="Equation.3" ShapeID="_x0000_i1031" DrawAspect="Content" ObjectID="_1434448047" r:id="rId31"/>
        </w:object>
      </w:r>
      <w:r w:rsidRPr="009F1FFF">
        <w:rPr>
          <w:lang w:val="en-US"/>
        </w:rPr>
        <w:t xml:space="preserve">                      (4)                        </w:t>
      </w:r>
    </w:p>
    <w:p w:rsidR="009F1FFF" w:rsidRPr="009F1FFF" w:rsidRDefault="009F1FFF" w:rsidP="009F1FFF">
      <w:pPr>
        <w:pStyle w:val="Altbilgi"/>
        <w:jc w:val="both"/>
        <w:rPr>
          <w:lang w:val="en-US"/>
        </w:rPr>
      </w:pPr>
      <w:r w:rsidRPr="009F1FFF">
        <w:rPr>
          <w:lang w:val="en-US"/>
        </w:rPr>
        <w:tab/>
      </w:r>
      <w:r w:rsidRPr="009F1FFF">
        <w:rPr>
          <w:position w:val="-30"/>
          <w:lang w:val="en-US"/>
        </w:rPr>
        <w:object w:dxaOrig="4500" w:dyaOrig="720">
          <v:shape id="_x0000_i1032" type="#_x0000_t75" style="width:225pt;height:36pt" o:ole="">
            <v:imagedata r:id="rId32" o:title=""/>
          </v:shape>
          <o:OLEObject Type="Embed" ProgID="Equation.3" ShapeID="_x0000_i1032" DrawAspect="Content" ObjectID="_1434448048" r:id="rId33"/>
        </w:object>
      </w:r>
      <w:r w:rsidRPr="009F1FFF">
        <w:rPr>
          <w:lang w:val="en-US"/>
        </w:rPr>
        <w:t xml:space="preserve">                          (5)                      </w:t>
      </w:r>
    </w:p>
    <w:p w:rsidR="009F1FFF" w:rsidRPr="009F1FFF" w:rsidRDefault="009F1FFF" w:rsidP="009F1FFF">
      <w:pPr>
        <w:pStyle w:val="Altbilgi"/>
        <w:jc w:val="both"/>
        <w:rPr>
          <w:lang w:val="en-US"/>
        </w:rPr>
      </w:pPr>
    </w:p>
    <w:p w:rsidR="009F1FFF" w:rsidRPr="009F1FFF" w:rsidRDefault="009F1FFF" w:rsidP="00F07A71">
      <w:pPr>
        <w:pStyle w:val="Altbilgi"/>
        <w:jc w:val="both"/>
        <w:rPr>
          <w:lang w:val="en-US"/>
        </w:rPr>
      </w:pPr>
      <w:r w:rsidRPr="009F1FFF">
        <w:rPr>
          <w:lang w:val="en-US"/>
        </w:rPr>
        <w:t xml:space="preserve">In equations </w:t>
      </w:r>
      <w:r w:rsidRPr="009F1FFF">
        <w:rPr>
          <w:position w:val="-12"/>
          <w:lang w:val="en-US"/>
        </w:rPr>
        <w:object w:dxaOrig="420" w:dyaOrig="360">
          <v:shape id="_x0000_i1033" type="#_x0000_t75" style="width:21pt;height:18pt" o:ole="">
            <v:imagedata r:id="rId34" o:title=""/>
          </v:shape>
          <o:OLEObject Type="Embed" ProgID="Equation.3" ShapeID="_x0000_i1033" DrawAspect="Content" ObjectID="_1434448049" r:id="rId35"/>
        </w:object>
      </w:r>
      <w:r w:rsidRPr="009F1FFF">
        <w:rPr>
          <w:lang w:val="en-US"/>
        </w:rPr>
        <w:t xml:space="preserve">and </w:t>
      </w:r>
      <w:r w:rsidRPr="009F1FFF">
        <w:rPr>
          <w:position w:val="-12"/>
          <w:lang w:val="en-US"/>
        </w:rPr>
        <w:object w:dxaOrig="420" w:dyaOrig="380">
          <v:shape id="_x0000_i1034" type="#_x0000_t75" style="width:21pt;height:18.75pt" o:ole="">
            <v:imagedata r:id="rId36" o:title=""/>
          </v:shape>
          <o:OLEObject Type="Embed" ProgID="Equation.3" ShapeID="_x0000_i1034" DrawAspect="Content" ObjectID="_1434448050" r:id="rId37"/>
        </w:object>
      </w:r>
      <w:r w:rsidRPr="009F1FFF">
        <w:rPr>
          <w:lang w:val="en-US"/>
        </w:rPr>
        <w:t xml:space="preserve"> the lagged residuals are estimated by the co</w:t>
      </w:r>
      <w:r w:rsidR="00F07A71">
        <w:rPr>
          <w:lang w:val="en-US"/>
        </w:rPr>
        <w:t>-</w:t>
      </w:r>
      <w:r w:rsidRPr="009F1FFF">
        <w:rPr>
          <w:lang w:val="en-US"/>
        </w:rPr>
        <w:t>integrated regressions of equations of (3) and (4). “</w:t>
      </w:r>
      <w:r w:rsidRPr="009F1FFF">
        <w:rPr>
          <w:position w:val="-4"/>
          <w:lang w:val="en-US"/>
        </w:rPr>
        <w:object w:dxaOrig="220" w:dyaOrig="260">
          <v:shape id="_x0000_i1035" type="#_x0000_t75" style="width:11.25pt;height:12.75pt" o:ole="">
            <v:imagedata r:id="rId38" o:title=""/>
          </v:shape>
          <o:OLEObject Type="Embed" ProgID="Equation.3" ShapeID="_x0000_i1035" DrawAspect="Content" ObjectID="_1434448051" r:id="rId39"/>
        </w:object>
      </w:r>
      <w:r w:rsidRPr="009F1FFF">
        <w:rPr>
          <w:lang w:val="en-US"/>
        </w:rPr>
        <w:t xml:space="preserve">” shows that we make the </w:t>
      </w:r>
      <w:r w:rsidRPr="009F1FFF">
        <w:rPr>
          <w:rStyle w:val="Vurgu"/>
          <w:i w:val="0"/>
          <w:lang w:val="en-US"/>
        </w:rPr>
        <w:t>variables stationary</w:t>
      </w:r>
      <w:r w:rsidRPr="009F1FFF">
        <w:rPr>
          <w:i/>
          <w:lang w:val="en-US"/>
        </w:rPr>
        <w:t xml:space="preserve"> </w:t>
      </w:r>
      <w:r w:rsidRPr="009F1FFF">
        <w:rPr>
          <w:lang w:val="en-US"/>
        </w:rPr>
        <w:t>by</w:t>
      </w:r>
      <w:r w:rsidRPr="009F1FFF">
        <w:rPr>
          <w:i/>
          <w:lang w:val="en-US"/>
        </w:rPr>
        <w:t xml:space="preserve"> </w:t>
      </w:r>
      <w:r w:rsidRPr="009F1FFF">
        <w:rPr>
          <w:rStyle w:val="Vurgu"/>
          <w:i w:val="0"/>
          <w:lang w:val="en-US"/>
        </w:rPr>
        <w:t>differencing</w:t>
      </w:r>
      <w:r w:rsidRPr="009F1FFF">
        <w:rPr>
          <w:lang w:val="en-US"/>
        </w:rPr>
        <w:t xml:space="preserve"> variables. If </w:t>
      </w:r>
      <w:r w:rsidRPr="009F1FFF">
        <w:rPr>
          <w:position w:val="-12"/>
          <w:lang w:val="en-US"/>
        </w:rPr>
        <w:object w:dxaOrig="260" w:dyaOrig="360">
          <v:shape id="_x0000_i1036" type="#_x0000_t75" style="width:12.75pt;height:18pt" o:ole="">
            <v:imagedata r:id="rId40" o:title=""/>
          </v:shape>
          <o:OLEObject Type="Embed" ProgID="Equation.3" ShapeID="_x0000_i1036" DrawAspect="Content" ObjectID="_1434448052" r:id="rId41"/>
        </w:object>
      </w:r>
      <w:r w:rsidRPr="009F1FFF">
        <w:rPr>
          <w:lang w:val="en-US"/>
        </w:rPr>
        <w:t xml:space="preserve">and </w:t>
      </w:r>
      <w:r w:rsidRPr="009F1FFF">
        <w:rPr>
          <w:position w:val="-10"/>
          <w:lang w:val="en-US"/>
        </w:rPr>
        <w:object w:dxaOrig="240" w:dyaOrig="340">
          <v:shape id="_x0000_i1037" type="#_x0000_t75" style="width:12pt;height:17.25pt" o:ole="">
            <v:imagedata r:id="rId42" o:title=""/>
          </v:shape>
          <o:OLEObject Type="Embed" ProgID="Equation.3" ShapeID="_x0000_i1037" DrawAspect="Content" ObjectID="_1434448053" r:id="rId43"/>
        </w:object>
      </w:r>
      <w:r w:rsidRPr="009F1FFF">
        <w:rPr>
          <w:lang w:val="en-US"/>
        </w:rPr>
        <w:t>are statistically significant a time series X is said to be Granger-cause Y and Y is said to be Granger-cause X. The ECM states that if two variables are co</w:t>
      </w:r>
      <w:r w:rsidR="00F07A71">
        <w:rPr>
          <w:lang w:val="en-US"/>
        </w:rPr>
        <w:t>-</w:t>
      </w:r>
      <w:r w:rsidRPr="009F1FFF">
        <w:rPr>
          <w:lang w:val="en-US"/>
        </w:rPr>
        <w:t xml:space="preserve">integrated there is at least one-way causality between variables. </w:t>
      </w:r>
    </w:p>
    <w:p w:rsidR="00F07A71" w:rsidRDefault="00F07A71" w:rsidP="00F07A71">
      <w:pPr>
        <w:pStyle w:val="Altbilgi"/>
        <w:jc w:val="both"/>
        <w:rPr>
          <w:lang w:val="en-US"/>
        </w:rPr>
      </w:pPr>
    </w:p>
    <w:p w:rsidR="009F1FFF" w:rsidRPr="009F1FFF" w:rsidRDefault="009F1FFF" w:rsidP="00F07A71">
      <w:pPr>
        <w:pStyle w:val="Altbilgi"/>
        <w:jc w:val="both"/>
        <w:rPr>
          <w:lang w:val="en-US"/>
        </w:rPr>
      </w:pPr>
      <w:r w:rsidRPr="009F1FFF">
        <w:rPr>
          <w:lang w:val="en-US"/>
        </w:rPr>
        <w:t xml:space="preserve">In this paper, the causality relationship between growth (gdp), primary energy </w:t>
      </w:r>
      <w:r w:rsidR="00F07A71" w:rsidRPr="009F1FFF">
        <w:rPr>
          <w:lang w:val="en-US"/>
        </w:rPr>
        <w:t>consumption</w:t>
      </w:r>
      <w:r w:rsidRPr="009F1FFF">
        <w:rPr>
          <w:lang w:val="en-US"/>
        </w:rPr>
        <w:t xml:space="preserve"> (cons) and secondary (electricity) energy consumption (elec) is examined. </w:t>
      </w:r>
    </w:p>
    <w:p w:rsidR="00F07A71" w:rsidRDefault="00F07A71" w:rsidP="00F07A71">
      <w:pPr>
        <w:pStyle w:val="Altbilgi"/>
        <w:jc w:val="both"/>
        <w:rPr>
          <w:lang w:val="en-US"/>
        </w:rPr>
      </w:pPr>
    </w:p>
    <w:p w:rsidR="009F1FFF" w:rsidRPr="009F1FFF" w:rsidRDefault="009F1FFF" w:rsidP="00F07A71">
      <w:pPr>
        <w:pStyle w:val="Altbilgi"/>
        <w:jc w:val="both"/>
        <w:rPr>
          <w:lang w:val="en-US"/>
        </w:rPr>
      </w:pPr>
      <w:r w:rsidRPr="009F1FFF">
        <w:rPr>
          <w:lang w:val="en-US"/>
        </w:rPr>
        <w:t xml:space="preserve">The investigation of </w:t>
      </w:r>
      <w:r w:rsidR="00F07A71" w:rsidRPr="009F1FFF">
        <w:rPr>
          <w:lang w:val="en-US"/>
        </w:rPr>
        <w:t>stationary</w:t>
      </w:r>
      <w:r w:rsidRPr="009F1FFF">
        <w:rPr>
          <w:lang w:val="en-US"/>
        </w:rPr>
        <w:t xml:space="preserve"> is closely related to the tests for unit roots. We employ Dickey-Fuller (DF) and Augmented Dickey-Fuller (ADF) to test the </w:t>
      </w:r>
      <w:r w:rsidR="00F07A71" w:rsidRPr="009F1FFF">
        <w:rPr>
          <w:lang w:val="en-US"/>
        </w:rPr>
        <w:t>stationary</w:t>
      </w:r>
      <w:r w:rsidRPr="009F1FFF">
        <w:rPr>
          <w:lang w:val="en-US"/>
        </w:rPr>
        <w:t xml:space="preserve">. The results of DF and ADF unit roots tests are provided in Table 2. </w:t>
      </w:r>
    </w:p>
    <w:p w:rsidR="009F1FFF" w:rsidRPr="009F1FFF" w:rsidRDefault="009F1FFF" w:rsidP="009F1FFF">
      <w:pPr>
        <w:pStyle w:val="Altbilgi"/>
        <w:jc w:val="both"/>
        <w:rPr>
          <w:sz w:val="20"/>
          <w:lang w:val="en-US"/>
        </w:rPr>
      </w:pPr>
    </w:p>
    <w:p w:rsidR="009F1FFF" w:rsidRDefault="009F1FFF" w:rsidP="009F1FFF">
      <w:pPr>
        <w:pStyle w:val="Altbilgi"/>
        <w:jc w:val="both"/>
        <w:rPr>
          <w:b/>
          <w:lang w:val="en-US"/>
        </w:rPr>
      </w:pPr>
    </w:p>
    <w:p w:rsidR="001F1CE5" w:rsidRDefault="001F1CE5" w:rsidP="009F1FFF">
      <w:pPr>
        <w:pStyle w:val="Altbilgi"/>
        <w:jc w:val="both"/>
        <w:rPr>
          <w:b/>
          <w:lang w:val="en-US"/>
        </w:rPr>
      </w:pPr>
    </w:p>
    <w:p w:rsidR="001F1CE5" w:rsidRDefault="001F1CE5" w:rsidP="009F1FFF">
      <w:pPr>
        <w:pStyle w:val="Altbilgi"/>
        <w:jc w:val="both"/>
        <w:rPr>
          <w:b/>
          <w:lang w:val="en-US"/>
        </w:rPr>
      </w:pPr>
    </w:p>
    <w:p w:rsidR="001F1CE5" w:rsidRDefault="001F1CE5" w:rsidP="009F1FFF">
      <w:pPr>
        <w:pStyle w:val="Altbilgi"/>
        <w:jc w:val="both"/>
        <w:rPr>
          <w:b/>
          <w:lang w:val="en-US"/>
        </w:rPr>
      </w:pPr>
    </w:p>
    <w:p w:rsidR="001F1CE5" w:rsidRDefault="001F1CE5" w:rsidP="009F1FFF">
      <w:pPr>
        <w:pStyle w:val="Altbilgi"/>
        <w:jc w:val="both"/>
        <w:rPr>
          <w:b/>
          <w:lang w:val="en-US"/>
        </w:rPr>
      </w:pPr>
    </w:p>
    <w:p w:rsidR="001F1CE5" w:rsidRPr="009F1FFF" w:rsidRDefault="001F1CE5" w:rsidP="009F1FFF">
      <w:pPr>
        <w:pStyle w:val="Altbilgi"/>
        <w:jc w:val="both"/>
        <w:rPr>
          <w:b/>
          <w:lang w:val="en-US"/>
        </w:rPr>
      </w:pPr>
    </w:p>
    <w:p w:rsidR="009F1FFF" w:rsidRDefault="009F1FFF" w:rsidP="00F07A71">
      <w:pPr>
        <w:pStyle w:val="Altbilgi"/>
        <w:jc w:val="center"/>
        <w:rPr>
          <w:sz w:val="22"/>
          <w:lang w:val="en-US"/>
        </w:rPr>
      </w:pPr>
      <w:r w:rsidRPr="00F07A71">
        <w:rPr>
          <w:sz w:val="22"/>
          <w:lang w:val="en-US"/>
        </w:rPr>
        <w:lastRenderedPageBreak/>
        <w:t>Table 2 DF and ADF Unit Roots Analysis</w:t>
      </w:r>
    </w:p>
    <w:p w:rsidR="001F1CE5" w:rsidRPr="00F07A71" w:rsidRDefault="001F1CE5" w:rsidP="00F07A71">
      <w:pPr>
        <w:pStyle w:val="Altbilgi"/>
        <w:jc w:val="center"/>
        <w:rPr>
          <w:sz w:val="22"/>
          <w:lang w:val="en-US"/>
        </w:rPr>
      </w:pPr>
    </w:p>
    <w:tbl>
      <w:tblPr>
        <w:tblStyle w:val="AkGlgeleme"/>
        <w:tblW w:w="5000" w:type="pct"/>
        <w:jc w:val="center"/>
        <w:tblLook w:val="0000" w:firstRow="0" w:lastRow="0" w:firstColumn="0" w:lastColumn="0" w:noHBand="0" w:noVBand="0"/>
      </w:tblPr>
      <w:tblGrid>
        <w:gridCol w:w="1825"/>
        <w:gridCol w:w="1567"/>
        <w:gridCol w:w="1853"/>
        <w:gridCol w:w="1122"/>
        <w:gridCol w:w="1293"/>
        <w:gridCol w:w="1343"/>
      </w:tblGrid>
      <w:tr w:rsidR="009F1FFF" w:rsidRPr="009F1FFF" w:rsidTr="001F1CE5">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5000" w:type="pct"/>
            <w:gridSpan w:val="6"/>
            <w:shd w:val="clear" w:color="auto" w:fill="auto"/>
          </w:tcPr>
          <w:p w:rsidR="009F1FFF" w:rsidRPr="009F1FFF" w:rsidRDefault="001F1CE5" w:rsidP="001B4C2A">
            <w:pPr>
              <w:pStyle w:val="Altbilgi"/>
              <w:jc w:val="both"/>
              <w:rPr>
                <w:sz w:val="20"/>
                <w:lang w:val="en-US"/>
              </w:rPr>
            </w:pPr>
            <w:r>
              <w:rPr>
                <w:noProof/>
                <w:sz w:val="20"/>
              </w:rPr>
              <mc:AlternateContent>
                <mc:Choice Requires="wps">
                  <w:drawing>
                    <wp:anchor distT="0" distB="0" distL="114300" distR="114300" simplePos="0" relativeHeight="251662336" behindDoc="0" locked="0" layoutInCell="1" allowOverlap="1">
                      <wp:simplePos x="0" y="0"/>
                      <wp:positionH relativeFrom="column">
                        <wp:posOffset>2968625</wp:posOffset>
                      </wp:positionH>
                      <wp:positionV relativeFrom="paragraph">
                        <wp:posOffset>199390</wp:posOffset>
                      </wp:positionV>
                      <wp:extent cx="0" cy="0"/>
                      <wp:effectExtent l="10160" t="5080" r="8890" b="13970"/>
                      <wp:wrapNone/>
                      <wp:docPr id="1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75pt,15.7pt" to="233.7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"/>
                  </w:pict>
                </mc:Fallback>
              </mc:AlternateContent>
            </w:r>
            <w:r>
              <w:rPr>
                <w:noProof/>
                <w:sz w:val="20"/>
              </w:rPr>
              <mc:AlternateContent>
                <mc:Choice Requires="wps">
                  <w:drawing>
                    <wp:anchor distT="0" distB="0" distL="114300" distR="114300" simplePos="0" relativeHeight="251661312" behindDoc="0" locked="0" layoutInCell="1" allowOverlap="1">
                      <wp:simplePos x="0" y="0"/>
                      <wp:positionH relativeFrom="column">
                        <wp:posOffset>2849880</wp:posOffset>
                      </wp:positionH>
                      <wp:positionV relativeFrom="paragraph">
                        <wp:posOffset>226060</wp:posOffset>
                      </wp:positionV>
                      <wp:extent cx="0" cy="0"/>
                      <wp:effectExtent l="5715" t="12700" r="13335" b="6350"/>
                      <wp:wrapNone/>
                      <wp:docPr id="1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4pt,17.8pt" to="224.4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"/>
                  </w:pict>
                </mc:Fallback>
              </mc:AlternateContent>
            </w:r>
            <w:r w:rsidR="009F1FFF" w:rsidRPr="009F1FFF">
              <w:rPr>
                <w:sz w:val="20"/>
                <w:lang w:val="en-US"/>
              </w:rPr>
              <w:t xml:space="preserve">                                                           Test Statistics                                                Critical Values  </w:t>
            </w:r>
          </w:p>
          <w:p w:rsidR="009F1FFF" w:rsidRPr="009F1FFF" w:rsidRDefault="001F1CE5" w:rsidP="001B4C2A">
            <w:pPr>
              <w:pStyle w:val="Altbilgi"/>
              <w:jc w:val="both"/>
              <w:rPr>
                <w:sz w:val="20"/>
                <w:lang w:val="en-US"/>
              </w:rPr>
            </w:pPr>
            <w:r>
              <w:rPr>
                <w:noProof/>
                <w:sz w:val="20"/>
              </w:rPr>
              <mc:AlternateContent>
                <mc:Choice Requires="wps">
                  <w:drawing>
                    <wp:anchor distT="0" distB="0" distL="114300" distR="114300" simplePos="0" relativeHeight="251663360" behindDoc="0" locked="0" layoutInCell="1" allowOverlap="1">
                      <wp:simplePos x="0" y="0"/>
                      <wp:positionH relativeFrom="column">
                        <wp:posOffset>3511550</wp:posOffset>
                      </wp:positionH>
                      <wp:positionV relativeFrom="paragraph">
                        <wp:posOffset>-7620</wp:posOffset>
                      </wp:positionV>
                      <wp:extent cx="1714500" cy="0"/>
                      <wp:effectExtent l="10160" t="10795" r="8890" b="8255"/>
                      <wp:wrapNone/>
                      <wp:docPr id="1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5pt,-.6pt" to="411.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Z1MGQIAADMEAAAOAAAAZHJzL2Uyb0RvYy54bWysU02P2yAQvVfqf0DcE9upk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"/>
                  </w:pict>
                </mc:Fallback>
              </mc:AlternateContent>
            </w:r>
            <w:r>
              <w:rPr>
                <w:noProof/>
                <w:sz w:val="20"/>
              </w:rPr>
              <mc:AlternateContent>
                <mc:Choice Requires="wps">
                  <w:drawing>
                    <wp:anchor distT="0" distB="0" distL="114300" distR="114300" simplePos="0" relativeHeight="251660288" behindDoc="0" locked="0" layoutInCell="1" allowOverlap="1">
                      <wp:simplePos x="0" y="0"/>
                      <wp:positionH relativeFrom="column">
                        <wp:posOffset>1549400</wp:posOffset>
                      </wp:positionH>
                      <wp:positionV relativeFrom="paragraph">
                        <wp:posOffset>-7620</wp:posOffset>
                      </wp:positionV>
                      <wp:extent cx="1257300" cy="0"/>
                      <wp:effectExtent l="10160" t="10795" r="8890" b="8255"/>
                      <wp:wrapNone/>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pt,-.6pt" to="221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"/>
                  </w:pict>
                </mc:Fallback>
              </mc:AlternateContent>
            </w:r>
            <w:r w:rsidR="009F1FFF" w:rsidRPr="009F1FFF">
              <w:rPr>
                <w:sz w:val="20"/>
                <w:lang w:val="en-US"/>
              </w:rPr>
              <w:t xml:space="preserve">                                               Level Value          First Difference            %1                   %5                     %10</w:t>
            </w:r>
          </w:p>
        </w:tc>
      </w:tr>
      <w:tr w:rsidR="009F1FFF" w:rsidRPr="009F1FFF" w:rsidTr="001F1CE5">
        <w:trPr>
          <w:trHeight w:val="285"/>
          <w:jc w:val="center"/>
        </w:trPr>
        <w:tc>
          <w:tcPr>
            <w:cnfStyle w:val="000010000000" w:firstRow="0" w:lastRow="0" w:firstColumn="0" w:lastColumn="0" w:oddVBand="1" w:evenVBand="0" w:oddHBand="0" w:evenHBand="0" w:firstRowFirstColumn="0" w:firstRowLastColumn="0" w:lastRowFirstColumn="0" w:lastRowLastColumn="0"/>
            <w:tcW w:w="1014" w:type="pct"/>
            <w:shd w:val="clear" w:color="auto" w:fill="auto"/>
          </w:tcPr>
          <w:p w:rsidR="009F1FFF" w:rsidRPr="009F1FFF" w:rsidRDefault="009F1FFF" w:rsidP="001B4C2A">
            <w:pPr>
              <w:pStyle w:val="Altbilgi"/>
              <w:jc w:val="both"/>
              <w:rPr>
                <w:sz w:val="20"/>
                <w:lang w:val="en-US"/>
              </w:rPr>
            </w:pPr>
            <w:r w:rsidRPr="009F1FFF">
              <w:rPr>
                <w:sz w:val="20"/>
                <w:lang w:val="en-US"/>
              </w:rPr>
              <w:t>cons</w:t>
            </w:r>
          </w:p>
        </w:tc>
        <w:tc>
          <w:tcPr>
            <w:tcW w:w="870" w:type="pct"/>
            <w:shd w:val="clear" w:color="auto" w:fill="auto"/>
          </w:tcPr>
          <w:p w:rsidR="009F1FFF" w:rsidRPr="009F1FFF" w:rsidRDefault="009F1FFF" w:rsidP="001B4C2A">
            <w:pPr>
              <w:pStyle w:val="Altbilgi"/>
              <w:jc w:val="center"/>
              <w:cnfStyle w:val="000000000000" w:firstRow="0" w:lastRow="0" w:firstColumn="0" w:lastColumn="0" w:oddVBand="0" w:evenVBand="0" w:oddHBand="0" w:evenHBand="0" w:firstRowFirstColumn="0" w:firstRowLastColumn="0" w:lastRowFirstColumn="0" w:lastRowLastColumn="0"/>
              <w:rPr>
                <w:sz w:val="20"/>
                <w:lang w:val="en-US"/>
              </w:rPr>
            </w:pPr>
            <w:r w:rsidRPr="009F1FFF">
              <w:rPr>
                <w:sz w:val="20"/>
                <w:lang w:val="en-US"/>
              </w:rPr>
              <w:t>-0.53</w:t>
            </w:r>
            <w:r w:rsidRPr="009F1FFF">
              <w:rPr>
                <w:bCs/>
                <w:position w:val="-10"/>
                <w:sz w:val="20"/>
                <w:lang w:val="en-US"/>
              </w:rPr>
              <w:object w:dxaOrig="300" w:dyaOrig="340">
                <v:shape id="_x0000_i1038" type="#_x0000_t75" style="width:15pt;height:17.25pt" o:ole="">
                  <v:imagedata r:id="rId44" o:title=""/>
                </v:shape>
                <o:OLEObject Type="Embed" ProgID="Equation.3" ShapeID="_x0000_i1038" DrawAspect="Content" ObjectID="_1434448054" r:id="rId45"/>
              </w:object>
            </w:r>
          </w:p>
        </w:tc>
        <w:tc>
          <w:tcPr>
            <w:cnfStyle w:val="000010000000" w:firstRow="0" w:lastRow="0" w:firstColumn="0" w:lastColumn="0" w:oddVBand="1" w:evenVBand="0" w:oddHBand="0" w:evenHBand="0" w:firstRowFirstColumn="0" w:firstRowLastColumn="0" w:lastRowFirstColumn="0" w:lastRowLastColumn="0"/>
            <w:tcW w:w="1029" w:type="pct"/>
            <w:shd w:val="clear" w:color="auto" w:fill="auto"/>
          </w:tcPr>
          <w:p w:rsidR="009F1FFF" w:rsidRPr="009F1FFF" w:rsidRDefault="009F1FFF" w:rsidP="001B4C2A">
            <w:pPr>
              <w:pStyle w:val="Altbilgi"/>
              <w:jc w:val="center"/>
              <w:rPr>
                <w:sz w:val="20"/>
                <w:lang w:val="en-US"/>
              </w:rPr>
            </w:pPr>
            <w:r w:rsidRPr="009F1FFF">
              <w:rPr>
                <w:sz w:val="20"/>
                <w:lang w:val="en-US"/>
              </w:rPr>
              <w:t>-5.77</w:t>
            </w:r>
            <w:r w:rsidRPr="009F1FFF">
              <w:rPr>
                <w:bCs/>
                <w:position w:val="-10"/>
                <w:sz w:val="20"/>
                <w:lang w:val="en-US"/>
              </w:rPr>
              <w:object w:dxaOrig="300" w:dyaOrig="340">
                <v:shape id="_x0000_i1039" type="#_x0000_t75" style="width:15pt;height:17.25pt" o:ole="">
                  <v:imagedata r:id="rId46" o:title=""/>
                </v:shape>
                <o:OLEObject Type="Embed" ProgID="Equation.3" ShapeID="_x0000_i1039" DrawAspect="Content" ObjectID="_1434448055" r:id="rId47"/>
              </w:object>
            </w:r>
          </w:p>
        </w:tc>
        <w:tc>
          <w:tcPr>
            <w:tcW w:w="623" w:type="pct"/>
            <w:shd w:val="clear" w:color="auto" w:fill="auto"/>
          </w:tcPr>
          <w:p w:rsidR="009F1FFF" w:rsidRPr="009F1FFF" w:rsidRDefault="009F1FFF" w:rsidP="001B4C2A">
            <w:pPr>
              <w:pStyle w:val="Altbilgi"/>
              <w:jc w:val="center"/>
              <w:cnfStyle w:val="000000000000" w:firstRow="0" w:lastRow="0" w:firstColumn="0" w:lastColumn="0" w:oddVBand="0" w:evenVBand="0" w:oddHBand="0" w:evenHBand="0" w:firstRowFirstColumn="0" w:firstRowLastColumn="0" w:lastRowFirstColumn="0" w:lastRowLastColumn="0"/>
              <w:rPr>
                <w:sz w:val="20"/>
                <w:lang w:val="en-US"/>
              </w:rPr>
            </w:pPr>
            <w:r w:rsidRPr="009F1FFF">
              <w:rPr>
                <w:sz w:val="20"/>
                <w:lang w:val="en-US"/>
              </w:rPr>
              <w:t>-3.63</w:t>
            </w:r>
          </w:p>
        </w:tc>
        <w:tc>
          <w:tcPr>
            <w:cnfStyle w:val="000010000000" w:firstRow="0" w:lastRow="0" w:firstColumn="0" w:lastColumn="0" w:oddVBand="1" w:evenVBand="0" w:oddHBand="0" w:evenHBand="0" w:firstRowFirstColumn="0" w:firstRowLastColumn="0" w:lastRowFirstColumn="0" w:lastRowLastColumn="0"/>
            <w:tcW w:w="718" w:type="pct"/>
            <w:shd w:val="clear" w:color="auto" w:fill="auto"/>
          </w:tcPr>
          <w:p w:rsidR="009F1FFF" w:rsidRPr="009F1FFF" w:rsidRDefault="009F1FFF" w:rsidP="001B4C2A">
            <w:pPr>
              <w:pStyle w:val="Altbilgi"/>
              <w:jc w:val="center"/>
              <w:rPr>
                <w:sz w:val="20"/>
                <w:lang w:val="en-US"/>
              </w:rPr>
            </w:pPr>
            <w:r w:rsidRPr="009F1FFF">
              <w:rPr>
                <w:sz w:val="20"/>
                <w:lang w:val="en-US"/>
              </w:rPr>
              <w:t>-2.95</w:t>
            </w:r>
          </w:p>
        </w:tc>
        <w:tc>
          <w:tcPr>
            <w:tcW w:w="746" w:type="pct"/>
            <w:shd w:val="clear" w:color="auto" w:fill="auto"/>
          </w:tcPr>
          <w:p w:rsidR="009F1FFF" w:rsidRPr="009F1FFF" w:rsidRDefault="009F1FFF" w:rsidP="001B4C2A">
            <w:pPr>
              <w:pStyle w:val="Altbilgi"/>
              <w:jc w:val="center"/>
              <w:cnfStyle w:val="000000000000" w:firstRow="0" w:lastRow="0" w:firstColumn="0" w:lastColumn="0" w:oddVBand="0" w:evenVBand="0" w:oddHBand="0" w:evenHBand="0" w:firstRowFirstColumn="0" w:firstRowLastColumn="0" w:lastRowFirstColumn="0" w:lastRowLastColumn="0"/>
              <w:rPr>
                <w:sz w:val="20"/>
                <w:lang w:val="en-US"/>
              </w:rPr>
            </w:pPr>
            <w:r w:rsidRPr="009F1FFF">
              <w:rPr>
                <w:sz w:val="20"/>
                <w:lang w:val="en-US"/>
              </w:rPr>
              <w:t>-2.61</w:t>
            </w:r>
          </w:p>
        </w:tc>
      </w:tr>
      <w:tr w:rsidR="001F1CE5" w:rsidRPr="009F1FFF" w:rsidTr="001F1CE5">
        <w:trPr>
          <w:cnfStyle w:val="000000100000" w:firstRow="0" w:lastRow="0" w:firstColumn="0" w:lastColumn="0" w:oddVBand="0" w:evenVBand="0" w:oddHBand="1" w:evenHBand="0" w:firstRowFirstColumn="0" w:firstRowLastColumn="0" w:lastRowFirstColumn="0" w:lastRowLastColumn="0"/>
          <w:trHeight w:val="301"/>
          <w:jc w:val="center"/>
        </w:trPr>
        <w:tc>
          <w:tcPr>
            <w:cnfStyle w:val="000010000000" w:firstRow="0" w:lastRow="0" w:firstColumn="0" w:lastColumn="0" w:oddVBand="1" w:evenVBand="0" w:oddHBand="0" w:evenHBand="0" w:firstRowFirstColumn="0" w:firstRowLastColumn="0" w:lastRowFirstColumn="0" w:lastRowLastColumn="0"/>
            <w:tcW w:w="1014" w:type="pct"/>
            <w:shd w:val="clear" w:color="auto" w:fill="auto"/>
          </w:tcPr>
          <w:p w:rsidR="009F1FFF" w:rsidRPr="009F1FFF" w:rsidRDefault="009F1FFF" w:rsidP="001B4C2A">
            <w:pPr>
              <w:pStyle w:val="Altbilgi"/>
              <w:jc w:val="both"/>
              <w:rPr>
                <w:sz w:val="20"/>
                <w:lang w:val="en-US"/>
              </w:rPr>
            </w:pPr>
            <w:r w:rsidRPr="009F1FFF">
              <w:rPr>
                <w:sz w:val="20"/>
                <w:lang w:val="en-US"/>
              </w:rPr>
              <w:t>gdp</w:t>
            </w:r>
          </w:p>
        </w:tc>
        <w:tc>
          <w:tcPr>
            <w:tcW w:w="870" w:type="pct"/>
            <w:shd w:val="clear" w:color="auto" w:fill="auto"/>
          </w:tcPr>
          <w:p w:rsidR="009F1FFF" w:rsidRPr="009F1FFF" w:rsidRDefault="009F1FFF" w:rsidP="001B4C2A">
            <w:pPr>
              <w:pStyle w:val="Altbilgi"/>
              <w:jc w:val="center"/>
              <w:cnfStyle w:val="000000100000" w:firstRow="0" w:lastRow="0" w:firstColumn="0" w:lastColumn="0" w:oddVBand="0" w:evenVBand="0" w:oddHBand="1" w:evenHBand="0" w:firstRowFirstColumn="0" w:firstRowLastColumn="0" w:lastRowFirstColumn="0" w:lastRowLastColumn="0"/>
              <w:rPr>
                <w:sz w:val="20"/>
                <w:lang w:val="en-US"/>
              </w:rPr>
            </w:pPr>
            <w:r w:rsidRPr="009F1FFF">
              <w:rPr>
                <w:sz w:val="20"/>
                <w:lang w:val="en-US"/>
              </w:rPr>
              <w:t>-0.039</w:t>
            </w:r>
            <w:r w:rsidRPr="009F1FFF">
              <w:rPr>
                <w:bCs/>
                <w:position w:val="-10"/>
                <w:sz w:val="20"/>
                <w:lang w:val="en-US"/>
              </w:rPr>
              <w:object w:dxaOrig="300" w:dyaOrig="340">
                <v:shape id="_x0000_i1040" type="#_x0000_t75" style="width:15pt;height:17.25pt" o:ole="">
                  <v:imagedata r:id="rId48" o:title=""/>
                </v:shape>
                <o:OLEObject Type="Embed" ProgID="Equation.3" ShapeID="_x0000_i1040" DrawAspect="Content" ObjectID="_1434448056" r:id="rId49"/>
              </w:object>
            </w:r>
          </w:p>
        </w:tc>
        <w:tc>
          <w:tcPr>
            <w:cnfStyle w:val="000010000000" w:firstRow="0" w:lastRow="0" w:firstColumn="0" w:lastColumn="0" w:oddVBand="1" w:evenVBand="0" w:oddHBand="0" w:evenHBand="0" w:firstRowFirstColumn="0" w:firstRowLastColumn="0" w:lastRowFirstColumn="0" w:lastRowLastColumn="0"/>
            <w:tcW w:w="1029" w:type="pct"/>
            <w:shd w:val="clear" w:color="auto" w:fill="auto"/>
          </w:tcPr>
          <w:p w:rsidR="009F1FFF" w:rsidRPr="009F1FFF" w:rsidRDefault="009F1FFF" w:rsidP="001B4C2A">
            <w:pPr>
              <w:pStyle w:val="Altbilgi"/>
              <w:jc w:val="center"/>
              <w:rPr>
                <w:sz w:val="20"/>
                <w:lang w:val="en-US"/>
              </w:rPr>
            </w:pPr>
            <w:r w:rsidRPr="009F1FFF">
              <w:rPr>
                <w:sz w:val="20"/>
                <w:lang w:val="en-US"/>
              </w:rPr>
              <w:t>-6.20</w:t>
            </w:r>
            <w:r w:rsidRPr="009F1FFF">
              <w:rPr>
                <w:bCs/>
                <w:position w:val="-10"/>
                <w:sz w:val="20"/>
                <w:lang w:val="en-US"/>
              </w:rPr>
              <w:object w:dxaOrig="300" w:dyaOrig="340">
                <v:shape id="_x0000_i1041" type="#_x0000_t75" style="width:15pt;height:17.25pt" o:ole="">
                  <v:imagedata r:id="rId46" o:title=""/>
                </v:shape>
                <o:OLEObject Type="Embed" ProgID="Equation.3" ShapeID="_x0000_i1041" DrawAspect="Content" ObjectID="_1434448057" r:id="rId50"/>
              </w:object>
            </w:r>
          </w:p>
        </w:tc>
        <w:tc>
          <w:tcPr>
            <w:tcW w:w="623" w:type="pct"/>
            <w:shd w:val="clear" w:color="auto" w:fill="auto"/>
          </w:tcPr>
          <w:p w:rsidR="009F1FFF" w:rsidRPr="009F1FFF" w:rsidRDefault="009F1FFF" w:rsidP="001B4C2A">
            <w:pPr>
              <w:pStyle w:val="Altbilgi"/>
              <w:jc w:val="center"/>
              <w:cnfStyle w:val="000000100000" w:firstRow="0" w:lastRow="0" w:firstColumn="0" w:lastColumn="0" w:oddVBand="0" w:evenVBand="0" w:oddHBand="1" w:evenHBand="0" w:firstRowFirstColumn="0" w:firstRowLastColumn="0" w:lastRowFirstColumn="0" w:lastRowLastColumn="0"/>
              <w:rPr>
                <w:sz w:val="20"/>
                <w:lang w:val="en-US"/>
              </w:rPr>
            </w:pPr>
            <w:r w:rsidRPr="009F1FFF">
              <w:rPr>
                <w:sz w:val="20"/>
                <w:lang w:val="en-US"/>
              </w:rPr>
              <w:t>-3.63</w:t>
            </w:r>
          </w:p>
        </w:tc>
        <w:tc>
          <w:tcPr>
            <w:cnfStyle w:val="000010000000" w:firstRow="0" w:lastRow="0" w:firstColumn="0" w:lastColumn="0" w:oddVBand="1" w:evenVBand="0" w:oddHBand="0" w:evenHBand="0" w:firstRowFirstColumn="0" w:firstRowLastColumn="0" w:lastRowFirstColumn="0" w:lastRowLastColumn="0"/>
            <w:tcW w:w="718" w:type="pct"/>
            <w:shd w:val="clear" w:color="auto" w:fill="auto"/>
          </w:tcPr>
          <w:p w:rsidR="009F1FFF" w:rsidRPr="009F1FFF" w:rsidRDefault="009F1FFF" w:rsidP="001B4C2A">
            <w:pPr>
              <w:pStyle w:val="Altbilgi"/>
              <w:jc w:val="center"/>
              <w:rPr>
                <w:sz w:val="20"/>
                <w:lang w:val="en-US"/>
              </w:rPr>
            </w:pPr>
            <w:r w:rsidRPr="009F1FFF">
              <w:rPr>
                <w:sz w:val="20"/>
                <w:lang w:val="en-US"/>
              </w:rPr>
              <w:t>-2.95</w:t>
            </w:r>
          </w:p>
        </w:tc>
        <w:tc>
          <w:tcPr>
            <w:tcW w:w="746" w:type="pct"/>
            <w:shd w:val="clear" w:color="auto" w:fill="auto"/>
          </w:tcPr>
          <w:p w:rsidR="009F1FFF" w:rsidRPr="009F1FFF" w:rsidRDefault="009F1FFF" w:rsidP="001B4C2A">
            <w:pPr>
              <w:pStyle w:val="Altbilgi"/>
              <w:jc w:val="center"/>
              <w:cnfStyle w:val="000000100000" w:firstRow="0" w:lastRow="0" w:firstColumn="0" w:lastColumn="0" w:oddVBand="0" w:evenVBand="0" w:oddHBand="1" w:evenHBand="0" w:firstRowFirstColumn="0" w:firstRowLastColumn="0" w:lastRowFirstColumn="0" w:lastRowLastColumn="0"/>
              <w:rPr>
                <w:sz w:val="20"/>
                <w:lang w:val="en-US"/>
              </w:rPr>
            </w:pPr>
            <w:r w:rsidRPr="009F1FFF">
              <w:rPr>
                <w:sz w:val="20"/>
                <w:lang w:val="en-US"/>
              </w:rPr>
              <w:t>-2.61</w:t>
            </w:r>
          </w:p>
        </w:tc>
      </w:tr>
      <w:tr w:rsidR="009F1FFF" w:rsidRPr="009F1FFF" w:rsidTr="001F1CE5">
        <w:trPr>
          <w:trHeight w:val="301"/>
          <w:jc w:val="center"/>
        </w:trPr>
        <w:tc>
          <w:tcPr>
            <w:cnfStyle w:val="000010000000" w:firstRow="0" w:lastRow="0" w:firstColumn="0" w:lastColumn="0" w:oddVBand="1" w:evenVBand="0" w:oddHBand="0" w:evenHBand="0" w:firstRowFirstColumn="0" w:firstRowLastColumn="0" w:lastRowFirstColumn="0" w:lastRowLastColumn="0"/>
            <w:tcW w:w="1014" w:type="pct"/>
            <w:shd w:val="clear" w:color="auto" w:fill="auto"/>
          </w:tcPr>
          <w:p w:rsidR="009F1FFF" w:rsidRPr="009F1FFF" w:rsidRDefault="009F1FFF" w:rsidP="001B4C2A">
            <w:pPr>
              <w:pStyle w:val="Altbilgi"/>
              <w:jc w:val="both"/>
              <w:rPr>
                <w:sz w:val="20"/>
                <w:lang w:val="en-US"/>
              </w:rPr>
            </w:pPr>
            <w:r w:rsidRPr="009F1FFF">
              <w:rPr>
                <w:sz w:val="20"/>
                <w:lang w:val="en-US"/>
              </w:rPr>
              <w:t>elec</w:t>
            </w:r>
          </w:p>
        </w:tc>
        <w:tc>
          <w:tcPr>
            <w:tcW w:w="870" w:type="pct"/>
            <w:shd w:val="clear" w:color="auto" w:fill="auto"/>
          </w:tcPr>
          <w:p w:rsidR="009F1FFF" w:rsidRPr="009F1FFF" w:rsidRDefault="009F1FFF" w:rsidP="001B4C2A">
            <w:pPr>
              <w:pStyle w:val="Altbilgi"/>
              <w:jc w:val="center"/>
              <w:cnfStyle w:val="000000000000" w:firstRow="0" w:lastRow="0" w:firstColumn="0" w:lastColumn="0" w:oddVBand="0" w:evenVBand="0" w:oddHBand="0" w:evenHBand="0" w:firstRowFirstColumn="0" w:firstRowLastColumn="0" w:lastRowFirstColumn="0" w:lastRowLastColumn="0"/>
              <w:rPr>
                <w:sz w:val="20"/>
                <w:lang w:val="en-US"/>
              </w:rPr>
            </w:pPr>
            <w:r w:rsidRPr="009F1FFF">
              <w:rPr>
                <w:sz w:val="20"/>
                <w:lang w:val="en-US"/>
              </w:rPr>
              <w:t>1.74</w:t>
            </w:r>
            <w:r w:rsidRPr="009F1FFF">
              <w:rPr>
                <w:bCs/>
                <w:position w:val="-10"/>
                <w:sz w:val="20"/>
                <w:lang w:val="en-US"/>
              </w:rPr>
              <w:object w:dxaOrig="300" w:dyaOrig="340">
                <v:shape id="_x0000_i1042" type="#_x0000_t75" style="width:15pt;height:17.25pt" o:ole="">
                  <v:imagedata r:id="rId46" o:title=""/>
                </v:shape>
                <o:OLEObject Type="Embed" ProgID="Equation.3" ShapeID="_x0000_i1042" DrawAspect="Content" ObjectID="_1434448058" r:id="rId51"/>
              </w:object>
            </w:r>
          </w:p>
        </w:tc>
        <w:tc>
          <w:tcPr>
            <w:cnfStyle w:val="000010000000" w:firstRow="0" w:lastRow="0" w:firstColumn="0" w:lastColumn="0" w:oddVBand="1" w:evenVBand="0" w:oddHBand="0" w:evenHBand="0" w:firstRowFirstColumn="0" w:firstRowLastColumn="0" w:lastRowFirstColumn="0" w:lastRowLastColumn="0"/>
            <w:tcW w:w="1029" w:type="pct"/>
            <w:shd w:val="clear" w:color="auto" w:fill="auto"/>
          </w:tcPr>
          <w:p w:rsidR="009F1FFF" w:rsidRPr="009F1FFF" w:rsidRDefault="009F1FFF" w:rsidP="001B4C2A">
            <w:pPr>
              <w:pStyle w:val="Altbilgi"/>
              <w:jc w:val="center"/>
              <w:rPr>
                <w:sz w:val="20"/>
                <w:lang w:val="en-US"/>
              </w:rPr>
            </w:pPr>
            <w:r w:rsidRPr="009F1FFF">
              <w:rPr>
                <w:sz w:val="20"/>
                <w:lang w:val="en-US"/>
              </w:rPr>
              <w:t>5.80</w:t>
            </w:r>
            <w:r w:rsidRPr="009F1FFF">
              <w:rPr>
                <w:bCs/>
                <w:position w:val="-10"/>
                <w:sz w:val="20"/>
                <w:lang w:val="en-US"/>
              </w:rPr>
              <w:object w:dxaOrig="300" w:dyaOrig="340">
                <v:shape id="_x0000_i1043" type="#_x0000_t75" style="width:15pt;height:17.25pt" o:ole="">
                  <v:imagedata r:id="rId46" o:title=""/>
                </v:shape>
                <o:OLEObject Type="Embed" ProgID="Equation.3" ShapeID="_x0000_i1043" DrawAspect="Content" ObjectID="_1434448059" r:id="rId52"/>
              </w:object>
            </w:r>
          </w:p>
        </w:tc>
        <w:tc>
          <w:tcPr>
            <w:tcW w:w="623" w:type="pct"/>
            <w:shd w:val="clear" w:color="auto" w:fill="auto"/>
          </w:tcPr>
          <w:p w:rsidR="009F1FFF" w:rsidRPr="009F1FFF" w:rsidRDefault="009F1FFF" w:rsidP="001B4C2A">
            <w:pPr>
              <w:pStyle w:val="Altbilgi"/>
              <w:jc w:val="center"/>
              <w:cnfStyle w:val="000000000000" w:firstRow="0" w:lastRow="0" w:firstColumn="0" w:lastColumn="0" w:oddVBand="0" w:evenVBand="0" w:oddHBand="0" w:evenHBand="0" w:firstRowFirstColumn="0" w:firstRowLastColumn="0" w:lastRowFirstColumn="0" w:lastRowLastColumn="0"/>
              <w:rPr>
                <w:sz w:val="20"/>
                <w:lang w:val="en-US"/>
              </w:rPr>
            </w:pPr>
            <w:r w:rsidRPr="009F1FFF">
              <w:rPr>
                <w:sz w:val="20"/>
                <w:lang w:val="en-US"/>
              </w:rPr>
              <w:t>-3.63</w:t>
            </w:r>
          </w:p>
        </w:tc>
        <w:tc>
          <w:tcPr>
            <w:cnfStyle w:val="000010000000" w:firstRow="0" w:lastRow="0" w:firstColumn="0" w:lastColumn="0" w:oddVBand="1" w:evenVBand="0" w:oddHBand="0" w:evenHBand="0" w:firstRowFirstColumn="0" w:firstRowLastColumn="0" w:lastRowFirstColumn="0" w:lastRowLastColumn="0"/>
            <w:tcW w:w="718" w:type="pct"/>
            <w:shd w:val="clear" w:color="auto" w:fill="auto"/>
          </w:tcPr>
          <w:p w:rsidR="009F1FFF" w:rsidRPr="009F1FFF" w:rsidRDefault="009F1FFF" w:rsidP="001B4C2A">
            <w:pPr>
              <w:pStyle w:val="Altbilgi"/>
              <w:jc w:val="center"/>
              <w:rPr>
                <w:sz w:val="20"/>
                <w:lang w:val="en-US"/>
              </w:rPr>
            </w:pPr>
            <w:r w:rsidRPr="009F1FFF">
              <w:rPr>
                <w:sz w:val="20"/>
                <w:lang w:val="en-US"/>
              </w:rPr>
              <w:t>-2.95</w:t>
            </w:r>
          </w:p>
        </w:tc>
        <w:tc>
          <w:tcPr>
            <w:tcW w:w="746" w:type="pct"/>
            <w:shd w:val="clear" w:color="auto" w:fill="auto"/>
          </w:tcPr>
          <w:p w:rsidR="009F1FFF" w:rsidRPr="009F1FFF" w:rsidRDefault="009F1FFF" w:rsidP="001B4C2A">
            <w:pPr>
              <w:pStyle w:val="Altbilgi"/>
              <w:jc w:val="center"/>
              <w:cnfStyle w:val="000000000000" w:firstRow="0" w:lastRow="0" w:firstColumn="0" w:lastColumn="0" w:oddVBand="0" w:evenVBand="0" w:oddHBand="0" w:evenHBand="0" w:firstRowFirstColumn="0" w:firstRowLastColumn="0" w:lastRowFirstColumn="0" w:lastRowLastColumn="0"/>
              <w:rPr>
                <w:sz w:val="20"/>
                <w:lang w:val="en-US"/>
              </w:rPr>
            </w:pPr>
            <w:r w:rsidRPr="009F1FFF">
              <w:rPr>
                <w:sz w:val="20"/>
                <w:lang w:val="en-US"/>
              </w:rPr>
              <w:t>-2.61</w:t>
            </w:r>
          </w:p>
        </w:tc>
      </w:tr>
    </w:tbl>
    <w:p w:rsidR="009F1FFF" w:rsidRPr="009F1FFF" w:rsidRDefault="009F1FFF" w:rsidP="009F1FFF">
      <w:pPr>
        <w:jc w:val="both"/>
        <w:rPr>
          <w:sz w:val="20"/>
          <w:szCs w:val="20"/>
          <w:lang w:val="en-US"/>
        </w:rPr>
      </w:pPr>
      <w:r w:rsidRPr="009F1FFF">
        <w:rPr>
          <w:sz w:val="20"/>
          <w:szCs w:val="20"/>
          <w:lang w:val="en-US"/>
        </w:rPr>
        <w:sym w:font="Symbol" w:char="F05B"/>
      </w:r>
      <w:r w:rsidRPr="009F1FFF">
        <w:rPr>
          <w:sz w:val="20"/>
          <w:szCs w:val="20"/>
          <w:lang w:val="en-US"/>
        </w:rPr>
        <w:t xml:space="preserve"> 1</w:t>
      </w:r>
      <w:r w:rsidRPr="009F1FFF">
        <w:rPr>
          <w:sz w:val="20"/>
          <w:szCs w:val="20"/>
          <w:lang w:val="en-US"/>
        </w:rPr>
        <w:sym w:font="Symbol" w:char="F05D"/>
      </w:r>
      <w:r w:rsidRPr="009F1FFF">
        <w:rPr>
          <w:sz w:val="20"/>
          <w:szCs w:val="20"/>
          <w:lang w:val="en-US"/>
        </w:rPr>
        <w:t xml:space="preserve"> Number of Lagged Residuals with respect to the Schwarz Information Criterion</w:t>
      </w:r>
    </w:p>
    <w:p w:rsidR="001F1CE5" w:rsidRDefault="001F1CE5" w:rsidP="001F1CE5">
      <w:pPr>
        <w:pStyle w:val="Altbilgi"/>
        <w:jc w:val="both"/>
        <w:rPr>
          <w:sz w:val="20"/>
          <w:lang w:val="en-US"/>
        </w:rPr>
      </w:pPr>
    </w:p>
    <w:p w:rsidR="001F1CE5" w:rsidRDefault="001F1CE5" w:rsidP="001F1CE5">
      <w:pPr>
        <w:pStyle w:val="Altbilgi"/>
        <w:jc w:val="both"/>
        <w:rPr>
          <w:sz w:val="20"/>
          <w:lang w:val="en-US"/>
        </w:rPr>
      </w:pPr>
    </w:p>
    <w:p w:rsidR="009F1FFF" w:rsidRPr="009F1FFF" w:rsidRDefault="001F1CE5" w:rsidP="001F1CE5">
      <w:pPr>
        <w:pStyle w:val="Altbilgi"/>
        <w:jc w:val="both"/>
        <w:rPr>
          <w:lang w:val="en-US"/>
        </w:rPr>
      </w:pPr>
      <w:r w:rsidRPr="009F1FFF">
        <w:rPr>
          <w:lang w:val="en-US"/>
        </w:rPr>
        <w:t>In</w:t>
      </w:r>
      <w:r w:rsidRPr="009F1FFF">
        <w:rPr>
          <w:lang w:val="en-US"/>
        </w:rPr>
        <w:t xml:space="preserve"> Table 2</w:t>
      </w:r>
      <w:r>
        <w:rPr>
          <w:lang w:val="en-US"/>
        </w:rPr>
        <w:t xml:space="preserve"> t</w:t>
      </w:r>
      <w:r w:rsidR="009F1FFF" w:rsidRPr="009F1FFF">
        <w:rPr>
          <w:lang w:val="en-US"/>
        </w:rPr>
        <w:t>he results of DF</w:t>
      </w:r>
      <w:r>
        <w:rPr>
          <w:lang w:val="en-US"/>
        </w:rPr>
        <w:t xml:space="preserve"> and ADF tests shows</w:t>
      </w:r>
      <w:r w:rsidR="009F1FFF" w:rsidRPr="009F1FFF">
        <w:rPr>
          <w:lang w:val="en-US"/>
        </w:rPr>
        <w:t xml:space="preserve"> that the levels of variables are non-stationary. Applying the same tests to first differences to determine the order of integration, it is concluded that series are stationary in first differences. That is, the series are integrated order of one, I</w:t>
      </w:r>
      <w:r>
        <w:rPr>
          <w:lang w:val="en-US"/>
        </w:rPr>
        <w:t xml:space="preserve"> </w:t>
      </w:r>
      <w:r w:rsidR="009F1FFF" w:rsidRPr="009F1FFF">
        <w:rPr>
          <w:lang w:val="en-US"/>
        </w:rPr>
        <w:t>(1). Therefore, the co</w:t>
      </w:r>
      <w:r>
        <w:rPr>
          <w:lang w:val="en-US"/>
        </w:rPr>
        <w:t>-</w:t>
      </w:r>
      <w:r w:rsidR="009F1FFF" w:rsidRPr="009F1FFF">
        <w:rPr>
          <w:lang w:val="en-US"/>
        </w:rPr>
        <w:t>integration test can be applied in order to investigate the existence of a long-run relationship between variables.</w:t>
      </w:r>
    </w:p>
    <w:p w:rsidR="009F1FFF" w:rsidRPr="009F1FFF" w:rsidRDefault="009F1FFF" w:rsidP="009F1FFF">
      <w:pPr>
        <w:pStyle w:val="Altbilgi"/>
        <w:ind w:firstLine="708"/>
        <w:jc w:val="both"/>
        <w:rPr>
          <w:sz w:val="20"/>
          <w:lang w:val="en-US"/>
        </w:rPr>
      </w:pPr>
    </w:p>
    <w:p w:rsidR="009F1FFF" w:rsidRPr="009F1FFF" w:rsidRDefault="009F1FFF" w:rsidP="009F1FFF">
      <w:pPr>
        <w:autoSpaceDE w:val="0"/>
        <w:autoSpaceDN w:val="0"/>
        <w:adjustRightInd w:val="0"/>
        <w:jc w:val="both"/>
        <w:rPr>
          <w:bCs/>
          <w:lang w:val="en-US"/>
        </w:rPr>
      </w:pPr>
      <w:r w:rsidRPr="009F1FFF">
        <w:rPr>
          <w:lang w:val="en-US"/>
        </w:rPr>
        <w:t>Table 3 shows result of the Engle-Granger (1988) co</w:t>
      </w:r>
      <w:r w:rsidR="001F1CE5">
        <w:rPr>
          <w:lang w:val="en-US"/>
        </w:rPr>
        <w:t>-</w:t>
      </w:r>
      <w:r w:rsidRPr="009F1FFF">
        <w:rPr>
          <w:lang w:val="en-US"/>
        </w:rPr>
        <w:t xml:space="preserve">integration test. The absolute values of the calculated test statistics for all the residuals are less than its critical value at the 5 per cent level. So, it’s mean that there is no </w:t>
      </w:r>
      <w:r w:rsidR="001F1CE5" w:rsidRPr="009F1FFF">
        <w:rPr>
          <w:lang w:val="en-US"/>
        </w:rPr>
        <w:t>relationship</w:t>
      </w:r>
      <w:r w:rsidRPr="009F1FFF">
        <w:rPr>
          <w:lang w:val="en-US"/>
        </w:rPr>
        <w:t xml:space="preserve"> between growth and primary energy consumption.</w:t>
      </w:r>
    </w:p>
    <w:p w:rsidR="009F1FFF" w:rsidRDefault="009F1FFF" w:rsidP="009F1FFF">
      <w:pPr>
        <w:pStyle w:val="Altbilgi"/>
        <w:jc w:val="both"/>
        <w:rPr>
          <w:lang w:val="en-US"/>
        </w:rPr>
      </w:pPr>
    </w:p>
    <w:p w:rsidR="001F1CE5" w:rsidRPr="009F1FFF" w:rsidRDefault="001F1CE5" w:rsidP="009F1FFF">
      <w:pPr>
        <w:pStyle w:val="Altbilgi"/>
        <w:jc w:val="both"/>
        <w:rPr>
          <w:lang w:val="en-US"/>
        </w:rPr>
      </w:pPr>
    </w:p>
    <w:p w:rsidR="009F1FFF" w:rsidRDefault="001F1CE5" w:rsidP="001F1CE5">
      <w:pPr>
        <w:pStyle w:val="Altbilgi"/>
        <w:jc w:val="center"/>
        <w:rPr>
          <w:sz w:val="22"/>
          <w:lang w:val="en-US"/>
        </w:rPr>
      </w:pPr>
      <w:r>
        <w:rPr>
          <w:sz w:val="22"/>
          <w:lang w:val="en-US"/>
        </w:rPr>
        <w:t>Table 3</w:t>
      </w:r>
      <w:r w:rsidR="009F1FFF" w:rsidRPr="001F1CE5">
        <w:rPr>
          <w:sz w:val="22"/>
          <w:lang w:val="en-US"/>
        </w:rPr>
        <w:t xml:space="preserve"> Two-way Co</w:t>
      </w:r>
      <w:r>
        <w:rPr>
          <w:sz w:val="22"/>
          <w:lang w:val="en-US"/>
        </w:rPr>
        <w:t>-</w:t>
      </w:r>
      <w:r w:rsidR="009F1FFF" w:rsidRPr="001F1CE5">
        <w:rPr>
          <w:sz w:val="22"/>
          <w:lang w:val="en-US"/>
        </w:rPr>
        <w:t>integrations Analysis</w:t>
      </w:r>
    </w:p>
    <w:p w:rsidR="001F1CE5" w:rsidRPr="001F1CE5" w:rsidRDefault="001F1CE5" w:rsidP="001F1CE5">
      <w:pPr>
        <w:pStyle w:val="Altbilgi"/>
        <w:jc w:val="center"/>
        <w:rPr>
          <w:sz w:val="22"/>
          <w:lang w:val="en-US"/>
        </w:rPr>
      </w:pPr>
    </w:p>
    <w:tbl>
      <w:tblPr>
        <w:tblStyle w:val="AkGlgeleme"/>
        <w:tblW w:w="4867" w:type="pct"/>
        <w:jc w:val="center"/>
        <w:tblLayout w:type="fixed"/>
        <w:tblLook w:val="0000" w:firstRow="0" w:lastRow="0" w:firstColumn="0" w:lastColumn="0" w:noHBand="0" w:noVBand="0"/>
      </w:tblPr>
      <w:tblGrid>
        <w:gridCol w:w="3000"/>
        <w:gridCol w:w="1753"/>
        <w:gridCol w:w="975"/>
        <w:gridCol w:w="975"/>
        <w:gridCol w:w="2061"/>
      </w:tblGrid>
      <w:tr w:rsidR="009F1FFF" w:rsidRPr="009F1FFF" w:rsidTr="001F1CE5">
        <w:trPr>
          <w:cnfStyle w:val="000000100000" w:firstRow="0" w:lastRow="0" w:firstColumn="0" w:lastColumn="0" w:oddVBand="0" w:evenVBand="0" w:oddHBand="1" w:evenHBand="0" w:firstRowFirstColumn="0" w:firstRowLastColumn="0" w:lastRowFirstColumn="0" w:lastRowLastColumn="0"/>
          <w:trHeight w:val="609"/>
          <w:jc w:val="center"/>
        </w:trPr>
        <w:tc>
          <w:tcPr>
            <w:cnfStyle w:val="000010000000" w:firstRow="0" w:lastRow="0" w:firstColumn="0" w:lastColumn="0" w:oddVBand="1" w:evenVBand="0" w:oddHBand="0" w:evenHBand="0" w:firstRowFirstColumn="0" w:firstRowLastColumn="0" w:lastRowFirstColumn="0" w:lastRowLastColumn="0"/>
            <w:tcW w:w="3823" w:type="pct"/>
            <w:gridSpan w:val="4"/>
            <w:shd w:val="clear" w:color="auto" w:fill="auto"/>
          </w:tcPr>
          <w:p w:rsidR="009F1FFF" w:rsidRPr="009F1FFF" w:rsidRDefault="009F1FFF" w:rsidP="001B4C2A">
            <w:pPr>
              <w:pStyle w:val="Altbilgi"/>
              <w:jc w:val="both"/>
              <w:rPr>
                <w:sz w:val="20"/>
                <w:lang w:val="en-US"/>
              </w:rPr>
            </w:pPr>
            <w:r w:rsidRPr="009F1FFF">
              <w:rPr>
                <w:sz w:val="20"/>
                <w:lang w:val="en-US"/>
              </w:rPr>
              <w:t>Co</w:t>
            </w:r>
            <w:r w:rsidR="001F1CE5">
              <w:rPr>
                <w:sz w:val="20"/>
                <w:lang w:val="en-US"/>
              </w:rPr>
              <w:t>-</w:t>
            </w:r>
            <w:r w:rsidRPr="009F1FFF">
              <w:rPr>
                <w:sz w:val="20"/>
                <w:lang w:val="en-US"/>
              </w:rPr>
              <w:t>integrated Regressions                              Calculated                 Critical Value</w:t>
            </w:r>
          </w:p>
          <w:p w:rsidR="009F1FFF" w:rsidRPr="009F1FFF" w:rsidRDefault="001F1CE5" w:rsidP="001B4C2A">
            <w:pPr>
              <w:pStyle w:val="Altbilgi"/>
              <w:jc w:val="both"/>
              <w:rPr>
                <w:sz w:val="20"/>
                <w:lang w:val="en-US"/>
              </w:rPr>
            </w:pPr>
            <w:r>
              <w:rPr>
                <w:noProof/>
                <w:sz w:val="20"/>
              </w:rPr>
              <mc:AlternateContent>
                <mc:Choice Requires="wps">
                  <w:drawing>
                    <wp:anchor distT="0" distB="0" distL="114300" distR="114300" simplePos="0" relativeHeight="251659264" behindDoc="0" locked="0" layoutInCell="1" allowOverlap="1">
                      <wp:simplePos x="0" y="0"/>
                      <wp:positionH relativeFrom="column">
                        <wp:posOffset>3103880</wp:posOffset>
                      </wp:positionH>
                      <wp:positionV relativeFrom="paragraph">
                        <wp:posOffset>170180</wp:posOffset>
                      </wp:positionV>
                      <wp:extent cx="1068705" cy="0"/>
                      <wp:effectExtent l="11430" t="5715" r="5715" b="13335"/>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8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4pt,13.4pt" to="328.5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r05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"/>
                  </w:pict>
                </mc:Fallback>
              </mc:AlternateContent>
            </w:r>
            <w:r w:rsidR="009F1FFF" w:rsidRPr="009F1FFF">
              <w:rPr>
                <w:sz w:val="20"/>
                <w:lang w:val="en-US"/>
              </w:rPr>
              <w:t xml:space="preserve">                                                                    ADF Residuals           %5           %10     </w:t>
            </w:r>
          </w:p>
        </w:tc>
        <w:tc>
          <w:tcPr>
            <w:tcW w:w="1177" w:type="pct"/>
            <w:shd w:val="clear" w:color="auto" w:fill="auto"/>
          </w:tcPr>
          <w:p w:rsidR="009F1FFF" w:rsidRPr="009F1FFF" w:rsidRDefault="009F1FFF" w:rsidP="001B4C2A">
            <w:pPr>
              <w:jc w:val="center"/>
              <w:cnfStyle w:val="000000100000" w:firstRow="0" w:lastRow="0" w:firstColumn="0" w:lastColumn="0" w:oddVBand="0" w:evenVBand="0" w:oddHBand="1" w:evenHBand="0" w:firstRowFirstColumn="0" w:firstRowLastColumn="0" w:lastRowFirstColumn="0" w:lastRowLastColumn="0"/>
              <w:rPr>
                <w:sz w:val="20"/>
                <w:lang w:val="en-US"/>
              </w:rPr>
            </w:pPr>
          </w:p>
          <w:p w:rsidR="009F1FFF" w:rsidRPr="009F1FFF" w:rsidRDefault="009F1FFF" w:rsidP="001B4C2A">
            <w:pPr>
              <w:pStyle w:val="Altbilgi"/>
              <w:jc w:val="center"/>
              <w:cnfStyle w:val="000000100000" w:firstRow="0" w:lastRow="0" w:firstColumn="0" w:lastColumn="0" w:oddVBand="0" w:evenVBand="0" w:oddHBand="1" w:evenHBand="0" w:firstRowFirstColumn="0" w:firstRowLastColumn="0" w:lastRowFirstColumn="0" w:lastRowLastColumn="0"/>
              <w:rPr>
                <w:sz w:val="20"/>
                <w:lang w:val="en-US"/>
              </w:rPr>
            </w:pPr>
            <w:r w:rsidRPr="009F1FFF">
              <w:rPr>
                <w:sz w:val="20"/>
                <w:lang w:val="en-US"/>
              </w:rPr>
              <w:t>Results</w:t>
            </w:r>
          </w:p>
        </w:tc>
      </w:tr>
      <w:tr w:rsidR="001F1CE5" w:rsidRPr="009F1FFF" w:rsidTr="001F1CE5">
        <w:trPr>
          <w:trHeight w:val="158"/>
          <w:jc w:val="center"/>
        </w:trPr>
        <w:tc>
          <w:tcPr>
            <w:cnfStyle w:val="000010000000" w:firstRow="0" w:lastRow="0" w:firstColumn="0" w:lastColumn="0" w:oddVBand="1" w:evenVBand="0" w:oddHBand="0" w:evenHBand="0" w:firstRowFirstColumn="0" w:firstRowLastColumn="0" w:lastRowFirstColumn="0" w:lastRowLastColumn="0"/>
            <w:tcW w:w="1712" w:type="pct"/>
            <w:shd w:val="clear" w:color="auto" w:fill="auto"/>
          </w:tcPr>
          <w:p w:rsidR="009F1FFF" w:rsidRPr="009F1FFF" w:rsidRDefault="009F1FFF" w:rsidP="001B4C2A">
            <w:pPr>
              <w:pStyle w:val="Altbilgi"/>
              <w:jc w:val="both"/>
              <w:rPr>
                <w:sz w:val="20"/>
                <w:lang w:val="en-US"/>
              </w:rPr>
            </w:pPr>
            <w:r w:rsidRPr="009F1FFF">
              <w:rPr>
                <w:sz w:val="20"/>
                <w:lang w:val="en-US"/>
              </w:rPr>
              <w:t>gnp = f (cons)</w:t>
            </w:r>
            <w:r w:rsidRPr="009F1FFF">
              <w:rPr>
                <w:position w:val="-10"/>
                <w:sz w:val="20"/>
                <w:lang w:val="en-US"/>
              </w:rPr>
              <w:object w:dxaOrig="180" w:dyaOrig="340">
                <v:shape id="_x0000_i1047" type="#_x0000_t75" style="width:9pt;height:17.25pt" o:ole="">
                  <v:imagedata r:id="rId53" o:title=""/>
                </v:shape>
                <o:OLEObject Type="Embed" ProgID="Equation.3" ShapeID="_x0000_i1047" DrawAspect="Content" ObjectID="_1434448060" r:id="rId54"/>
              </w:object>
            </w:r>
          </w:p>
        </w:tc>
        <w:tc>
          <w:tcPr>
            <w:tcW w:w="1000" w:type="pct"/>
            <w:shd w:val="clear" w:color="auto" w:fill="auto"/>
          </w:tcPr>
          <w:p w:rsidR="009F1FFF" w:rsidRPr="009F1FFF" w:rsidRDefault="009F1FFF" w:rsidP="001B4C2A">
            <w:pPr>
              <w:pStyle w:val="Altbilgi"/>
              <w:jc w:val="center"/>
              <w:cnfStyle w:val="000000000000" w:firstRow="0" w:lastRow="0" w:firstColumn="0" w:lastColumn="0" w:oddVBand="0" w:evenVBand="0" w:oddHBand="0" w:evenHBand="0" w:firstRowFirstColumn="0" w:firstRowLastColumn="0" w:lastRowFirstColumn="0" w:lastRowLastColumn="0"/>
              <w:rPr>
                <w:bCs/>
                <w:sz w:val="20"/>
                <w:lang w:val="en-US"/>
              </w:rPr>
            </w:pPr>
            <w:r w:rsidRPr="009F1FFF">
              <w:rPr>
                <w:bCs/>
                <w:sz w:val="20"/>
                <w:lang w:val="en-US"/>
              </w:rPr>
              <w:t xml:space="preserve">-2,62 </w:t>
            </w:r>
            <w:r w:rsidRPr="009F1FFF">
              <w:rPr>
                <w:bCs/>
                <w:position w:val="-10"/>
                <w:sz w:val="20"/>
                <w:lang w:val="en-US"/>
              </w:rPr>
              <w:object w:dxaOrig="300" w:dyaOrig="340">
                <v:shape id="_x0000_i1048" type="#_x0000_t75" style="width:15pt;height:17.25pt" o:ole="">
                  <v:imagedata r:id="rId55" o:title=""/>
                </v:shape>
                <o:OLEObject Type="Embed" ProgID="Equation.3" ShapeID="_x0000_i1048" DrawAspect="Content" ObjectID="_1434448061" r:id="rId56"/>
              </w:object>
            </w:r>
          </w:p>
        </w:tc>
        <w:tc>
          <w:tcPr>
            <w:cnfStyle w:val="000010000000" w:firstRow="0" w:lastRow="0" w:firstColumn="0" w:lastColumn="0" w:oddVBand="1" w:evenVBand="0" w:oddHBand="0" w:evenHBand="0" w:firstRowFirstColumn="0" w:firstRowLastColumn="0" w:lastRowFirstColumn="0" w:lastRowLastColumn="0"/>
            <w:tcW w:w="556" w:type="pct"/>
            <w:shd w:val="clear" w:color="auto" w:fill="auto"/>
          </w:tcPr>
          <w:p w:rsidR="009F1FFF" w:rsidRPr="009F1FFF" w:rsidRDefault="009F1FFF" w:rsidP="001B4C2A">
            <w:pPr>
              <w:pStyle w:val="Altbilgi"/>
              <w:ind w:left="117"/>
              <w:jc w:val="center"/>
              <w:rPr>
                <w:sz w:val="20"/>
                <w:lang w:val="en-US"/>
              </w:rPr>
            </w:pPr>
            <w:r w:rsidRPr="009F1FFF">
              <w:rPr>
                <w:sz w:val="20"/>
                <w:lang w:val="en-US"/>
              </w:rPr>
              <w:t>-2,99</w:t>
            </w:r>
          </w:p>
        </w:tc>
        <w:tc>
          <w:tcPr>
            <w:tcW w:w="556" w:type="pct"/>
            <w:shd w:val="clear" w:color="auto" w:fill="auto"/>
          </w:tcPr>
          <w:p w:rsidR="009F1FFF" w:rsidRPr="009F1FFF" w:rsidRDefault="009F1FFF" w:rsidP="001B4C2A">
            <w:pPr>
              <w:pStyle w:val="Altbilgi"/>
              <w:jc w:val="center"/>
              <w:cnfStyle w:val="000000000000" w:firstRow="0" w:lastRow="0" w:firstColumn="0" w:lastColumn="0" w:oddVBand="0" w:evenVBand="0" w:oddHBand="0" w:evenHBand="0" w:firstRowFirstColumn="0" w:firstRowLastColumn="0" w:lastRowFirstColumn="0" w:lastRowLastColumn="0"/>
              <w:rPr>
                <w:sz w:val="20"/>
                <w:lang w:val="en-US"/>
              </w:rPr>
            </w:pPr>
            <w:r w:rsidRPr="009F1FFF">
              <w:rPr>
                <w:sz w:val="20"/>
                <w:lang w:val="en-US"/>
              </w:rPr>
              <w:t>-2,63</w:t>
            </w:r>
          </w:p>
        </w:tc>
        <w:tc>
          <w:tcPr>
            <w:cnfStyle w:val="000010000000" w:firstRow="0" w:lastRow="0" w:firstColumn="0" w:lastColumn="0" w:oddVBand="1" w:evenVBand="0" w:oddHBand="0" w:evenHBand="0" w:firstRowFirstColumn="0" w:firstRowLastColumn="0" w:lastRowFirstColumn="0" w:lastRowLastColumn="0"/>
            <w:tcW w:w="1177" w:type="pct"/>
            <w:shd w:val="clear" w:color="auto" w:fill="auto"/>
          </w:tcPr>
          <w:p w:rsidR="009F1FFF" w:rsidRPr="009F1FFF" w:rsidRDefault="009F1FFF" w:rsidP="001B4C2A">
            <w:pPr>
              <w:pStyle w:val="Altbilgi"/>
              <w:jc w:val="center"/>
              <w:rPr>
                <w:b/>
                <w:bCs/>
                <w:sz w:val="20"/>
                <w:lang w:val="en-US"/>
              </w:rPr>
            </w:pPr>
            <w:r w:rsidRPr="009F1FFF">
              <w:rPr>
                <w:b/>
                <w:bCs/>
                <w:sz w:val="20"/>
                <w:lang w:val="en-US"/>
              </w:rPr>
              <w:t>Non-Co</w:t>
            </w:r>
            <w:r w:rsidR="001F1CE5">
              <w:rPr>
                <w:b/>
                <w:bCs/>
                <w:sz w:val="20"/>
                <w:lang w:val="en-US"/>
              </w:rPr>
              <w:t>-</w:t>
            </w:r>
            <w:r w:rsidRPr="009F1FFF">
              <w:rPr>
                <w:b/>
                <w:bCs/>
                <w:sz w:val="20"/>
                <w:lang w:val="en-US"/>
              </w:rPr>
              <w:t>integrated</w:t>
            </w:r>
          </w:p>
        </w:tc>
      </w:tr>
      <w:tr w:rsidR="001F1CE5" w:rsidRPr="009F1FFF" w:rsidTr="001F1CE5">
        <w:trPr>
          <w:cnfStyle w:val="000000100000" w:firstRow="0" w:lastRow="0" w:firstColumn="0" w:lastColumn="0" w:oddVBand="0" w:evenVBand="0" w:oddHBand="1" w:evenHBand="0" w:firstRowFirstColumn="0" w:firstRowLastColumn="0" w:lastRowFirstColumn="0" w:lastRowLastColumn="0"/>
          <w:trHeight w:val="130"/>
          <w:jc w:val="center"/>
        </w:trPr>
        <w:tc>
          <w:tcPr>
            <w:cnfStyle w:val="000010000000" w:firstRow="0" w:lastRow="0" w:firstColumn="0" w:lastColumn="0" w:oddVBand="1" w:evenVBand="0" w:oddHBand="0" w:evenHBand="0" w:firstRowFirstColumn="0" w:firstRowLastColumn="0" w:lastRowFirstColumn="0" w:lastRowLastColumn="0"/>
            <w:tcW w:w="1712" w:type="pct"/>
            <w:shd w:val="clear" w:color="auto" w:fill="auto"/>
          </w:tcPr>
          <w:p w:rsidR="009F1FFF" w:rsidRPr="009F1FFF" w:rsidRDefault="009F1FFF" w:rsidP="001B4C2A">
            <w:pPr>
              <w:pStyle w:val="Altbilgi"/>
              <w:jc w:val="both"/>
              <w:rPr>
                <w:sz w:val="20"/>
                <w:lang w:val="en-US"/>
              </w:rPr>
            </w:pPr>
            <w:r w:rsidRPr="009F1FFF">
              <w:rPr>
                <w:sz w:val="20"/>
                <w:lang w:val="en-US"/>
              </w:rPr>
              <w:t xml:space="preserve">cons = f(gdp) </w:t>
            </w:r>
          </w:p>
        </w:tc>
        <w:tc>
          <w:tcPr>
            <w:tcW w:w="1000" w:type="pct"/>
            <w:shd w:val="clear" w:color="auto" w:fill="auto"/>
          </w:tcPr>
          <w:p w:rsidR="009F1FFF" w:rsidRPr="009F1FFF" w:rsidRDefault="009F1FFF" w:rsidP="001B4C2A">
            <w:pPr>
              <w:pStyle w:val="Altbilgi"/>
              <w:jc w:val="center"/>
              <w:cnfStyle w:val="000000100000" w:firstRow="0" w:lastRow="0" w:firstColumn="0" w:lastColumn="0" w:oddVBand="0" w:evenVBand="0" w:oddHBand="1" w:evenHBand="0" w:firstRowFirstColumn="0" w:firstRowLastColumn="0" w:lastRowFirstColumn="0" w:lastRowLastColumn="0"/>
              <w:rPr>
                <w:sz w:val="20"/>
                <w:lang w:val="en-US"/>
              </w:rPr>
            </w:pPr>
            <w:r w:rsidRPr="009F1FFF">
              <w:rPr>
                <w:sz w:val="20"/>
                <w:lang w:val="en-US"/>
              </w:rPr>
              <w:t>-2,62</w:t>
            </w:r>
            <w:r w:rsidRPr="009F1FFF">
              <w:rPr>
                <w:bCs/>
                <w:position w:val="-10"/>
                <w:sz w:val="20"/>
                <w:lang w:val="en-US"/>
              </w:rPr>
              <w:object w:dxaOrig="300" w:dyaOrig="340">
                <v:shape id="_x0000_i1049" type="#_x0000_t75" style="width:15pt;height:17.25pt" o:ole="">
                  <v:imagedata r:id="rId57" o:title=""/>
                </v:shape>
                <o:OLEObject Type="Embed" ProgID="Equation.3" ShapeID="_x0000_i1049" DrawAspect="Content" ObjectID="_1434448062" r:id="rId58"/>
              </w:object>
            </w:r>
          </w:p>
        </w:tc>
        <w:tc>
          <w:tcPr>
            <w:cnfStyle w:val="000010000000" w:firstRow="0" w:lastRow="0" w:firstColumn="0" w:lastColumn="0" w:oddVBand="1" w:evenVBand="0" w:oddHBand="0" w:evenHBand="0" w:firstRowFirstColumn="0" w:firstRowLastColumn="0" w:lastRowFirstColumn="0" w:lastRowLastColumn="0"/>
            <w:tcW w:w="556" w:type="pct"/>
            <w:shd w:val="clear" w:color="auto" w:fill="auto"/>
          </w:tcPr>
          <w:p w:rsidR="009F1FFF" w:rsidRPr="009F1FFF" w:rsidRDefault="009F1FFF" w:rsidP="001B4C2A">
            <w:pPr>
              <w:pStyle w:val="Altbilgi"/>
              <w:ind w:left="117"/>
              <w:jc w:val="center"/>
              <w:rPr>
                <w:sz w:val="20"/>
                <w:lang w:val="en-US"/>
              </w:rPr>
            </w:pPr>
            <w:r w:rsidRPr="009F1FFF">
              <w:rPr>
                <w:sz w:val="20"/>
                <w:lang w:val="en-US"/>
              </w:rPr>
              <w:t>-2,99</w:t>
            </w:r>
          </w:p>
        </w:tc>
        <w:tc>
          <w:tcPr>
            <w:tcW w:w="556" w:type="pct"/>
            <w:shd w:val="clear" w:color="auto" w:fill="auto"/>
          </w:tcPr>
          <w:p w:rsidR="009F1FFF" w:rsidRPr="009F1FFF" w:rsidRDefault="009F1FFF" w:rsidP="001B4C2A">
            <w:pPr>
              <w:pStyle w:val="Altbilgi"/>
              <w:jc w:val="center"/>
              <w:cnfStyle w:val="000000100000" w:firstRow="0" w:lastRow="0" w:firstColumn="0" w:lastColumn="0" w:oddVBand="0" w:evenVBand="0" w:oddHBand="1" w:evenHBand="0" w:firstRowFirstColumn="0" w:firstRowLastColumn="0" w:lastRowFirstColumn="0" w:lastRowLastColumn="0"/>
              <w:rPr>
                <w:sz w:val="20"/>
                <w:lang w:val="en-US"/>
              </w:rPr>
            </w:pPr>
            <w:r w:rsidRPr="009F1FFF">
              <w:rPr>
                <w:sz w:val="20"/>
                <w:lang w:val="en-US"/>
              </w:rPr>
              <w:t>-2,63</w:t>
            </w:r>
          </w:p>
        </w:tc>
        <w:tc>
          <w:tcPr>
            <w:cnfStyle w:val="000010000000" w:firstRow="0" w:lastRow="0" w:firstColumn="0" w:lastColumn="0" w:oddVBand="1" w:evenVBand="0" w:oddHBand="0" w:evenHBand="0" w:firstRowFirstColumn="0" w:firstRowLastColumn="0" w:lastRowFirstColumn="0" w:lastRowLastColumn="0"/>
            <w:tcW w:w="1177" w:type="pct"/>
            <w:shd w:val="clear" w:color="auto" w:fill="auto"/>
          </w:tcPr>
          <w:p w:rsidR="009F1FFF" w:rsidRPr="009F1FFF" w:rsidRDefault="009F1FFF" w:rsidP="001B4C2A">
            <w:pPr>
              <w:pStyle w:val="Altbilgi"/>
              <w:jc w:val="center"/>
              <w:rPr>
                <w:b/>
                <w:sz w:val="20"/>
                <w:lang w:val="en-US"/>
              </w:rPr>
            </w:pPr>
            <w:r w:rsidRPr="009F1FFF">
              <w:rPr>
                <w:b/>
                <w:sz w:val="20"/>
                <w:lang w:val="en-US"/>
              </w:rPr>
              <w:t>Non-Co</w:t>
            </w:r>
            <w:r w:rsidR="001F1CE5">
              <w:rPr>
                <w:b/>
                <w:sz w:val="20"/>
                <w:lang w:val="en-US"/>
              </w:rPr>
              <w:t>-</w:t>
            </w:r>
            <w:r w:rsidRPr="009F1FFF">
              <w:rPr>
                <w:b/>
                <w:sz w:val="20"/>
                <w:lang w:val="en-US"/>
              </w:rPr>
              <w:t>integrated</w:t>
            </w:r>
          </w:p>
        </w:tc>
      </w:tr>
    </w:tbl>
    <w:p w:rsidR="009F1FFF" w:rsidRPr="009F1FFF" w:rsidRDefault="009F1FFF" w:rsidP="009F1FFF">
      <w:pPr>
        <w:jc w:val="both"/>
        <w:rPr>
          <w:sz w:val="20"/>
          <w:szCs w:val="20"/>
          <w:lang w:val="en-US"/>
        </w:rPr>
      </w:pPr>
      <w:r w:rsidRPr="009F1FFF">
        <w:rPr>
          <w:sz w:val="20"/>
          <w:szCs w:val="20"/>
          <w:lang w:val="en-US"/>
        </w:rPr>
        <w:sym w:font="Symbol" w:char="F05B"/>
      </w:r>
      <w:r w:rsidRPr="009F1FFF">
        <w:rPr>
          <w:sz w:val="20"/>
          <w:szCs w:val="20"/>
          <w:lang w:val="en-US"/>
        </w:rPr>
        <w:t xml:space="preserve"> 1</w:t>
      </w:r>
      <w:r w:rsidRPr="009F1FFF">
        <w:rPr>
          <w:sz w:val="20"/>
          <w:szCs w:val="20"/>
          <w:lang w:val="en-US"/>
        </w:rPr>
        <w:sym w:font="Symbol" w:char="F05D"/>
      </w:r>
      <w:r w:rsidRPr="009F1FFF">
        <w:rPr>
          <w:sz w:val="20"/>
          <w:szCs w:val="20"/>
          <w:lang w:val="en-US"/>
        </w:rPr>
        <w:t xml:space="preserve"> Number of Lagged Residuals with respect to the Schwarz Information Criterion</w:t>
      </w:r>
    </w:p>
    <w:p w:rsidR="009F1FFF" w:rsidRDefault="009F1FFF" w:rsidP="009F1FFF">
      <w:pPr>
        <w:pStyle w:val="Altbilgi"/>
        <w:jc w:val="both"/>
        <w:rPr>
          <w:sz w:val="20"/>
          <w:lang w:val="en-US"/>
        </w:rPr>
      </w:pPr>
    </w:p>
    <w:p w:rsidR="001F1CE5" w:rsidRPr="009F1FFF" w:rsidRDefault="001F1CE5" w:rsidP="009F1FFF">
      <w:pPr>
        <w:pStyle w:val="Altbilgi"/>
        <w:jc w:val="both"/>
        <w:rPr>
          <w:sz w:val="20"/>
          <w:lang w:val="en-US"/>
        </w:rPr>
      </w:pPr>
    </w:p>
    <w:p w:rsidR="009F1FFF" w:rsidRPr="009F1FFF" w:rsidRDefault="009F1FFF" w:rsidP="009F1FFF">
      <w:pPr>
        <w:pStyle w:val="Altbilgi"/>
        <w:jc w:val="both"/>
        <w:rPr>
          <w:sz w:val="20"/>
          <w:lang w:val="en-US"/>
        </w:rPr>
      </w:pPr>
    </w:p>
    <w:p w:rsidR="009F1FFF" w:rsidRPr="009F1FFF" w:rsidRDefault="009F1FFF" w:rsidP="009F1FFF">
      <w:pPr>
        <w:autoSpaceDE w:val="0"/>
        <w:autoSpaceDN w:val="0"/>
        <w:adjustRightInd w:val="0"/>
        <w:jc w:val="both"/>
        <w:rPr>
          <w:lang w:val="en-US"/>
        </w:rPr>
      </w:pPr>
      <w:r w:rsidRPr="009F1FFF">
        <w:rPr>
          <w:lang w:val="en-US"/>
        </w:rPr>
        <w:t xml:space="preserve">We made other analysis that causality relationship between the growth and secondary (electricity) energy </w:t>
      </w:r>
      <w:r w:rsidR="001F1CE5" w:rsidRPr="009F1FFF">
        <w:rPr>
          <w:lang w:val="en-US"/>
        </w:rPr>
        <w:t>consumption</w:t>
      </w:r>
      <w:r w:rsidRPr="009F1FFF">
        <w:rPr>
          <w:lang w:val="en-US"/>
        </w:rPr>
        <w:t xml:space="preserve"> is examined for Turkey. As Table 4 shows, there is a two-way log-run relationship between gdp and electricity energy consumption. </w:t>
      </w:r>
    </w:p>
    <w:p w:rsidR="009F1FFF" w:rsidRPr="009F1FFF" w:rsidRDefault="009F1FFF" w:rsidP="009F1FFF">
      <w:pPr>
        <w:pStyle w:val="Altbilgi"/>
        <w:jc w:val="both"/>
        <w:rPr>
          <w:b/>
          <w:sz w:val="20"/>
          <w:lang w:val="en-US"/>
        </w:rPr>
      </w:pPr>
    </w:p>
    <w:p w:rsidR="009F1FFF" w:rsidRPr="009F1FFF" w:rsidRDefault="009F1FFF" w:rsidP="009F1FFF">
      <w:pPr>
        <w:pStyle w:val="Altbilgi"/>
        <w:jc w:val="both"/>
        <w:rPr>
          <w:b/>
          <w:sz w:val="20"/>
          <w:lang w:val="en-US"/>
        </w:rPr>
      </w:pPr>
    </w:p>
    <w:p w:rsidR="009F1FFF" w:rsidRDefault="001F1CE5" w:rsidP="001F1CE5">
      <w:pPr>
        <w:pStyle w:val="Altbilgi"/>
        <w:jc w:val="center"/>
        <w:rPr>
          <w:sz w:val="22"/>
          <w:lang w:val="en-US"/>
        </w:rPr>
      </w:pPr>
      <w:r>
        <w:rPr>
          <w:sz w:val="22"/>
          <w:lang w:val="en-US"/>
        </w:rPr>
        <w:t>Table 4</w:t>
      </w:r>
      <w:r w:rsidR="009F1FFF" w:rsidRPr="001F1CE5">
        <w:rPr>
          <w:sz w:val="22"/>
          <w:lang w:val="en-US"/>
        </w:rPr>
        <w:t xml:space="preserve"> Two-way Co</w:t>
      </w:r>
      <w:r>
        <w:rPr>
          <w:sz w:val="22"/>
          <w:lang w:val="en-US"/>
        </w:rPr>
        <w:t>-</w:t>
      </w:r>
      <w:r w:rsidR="009F1FFF" w:rsidRPr="001F1CE5">
        <w:rPr>
          <w:sz w:val="22"/>
          <w:lang w:val="en-US"/>
        </w:rPr>
        <w:t>integrations Analysis</w:t>
      </w:r>
    </w:p>
    <w:p w:rsidR="001F1CE5" w:rsidRPr="001F1CE5" w:rsidRDefault="001F1CE5" w:rsidP="001F1CE5">
      <w:pPr>
        <w:pStyle w:val="Altbilgi"/>
        <w:jc w:val="center"/>
        <w:rPr>
          <w:sz w:val="18"/>
          <w:lang w:val="en-US"/>
        </w:rPr>
      </w:pPr>
    </w:p>
    <w:tbl>
      <w:tblPr>
        <w:tblStyle w:val="AkGlgeleme"/>
        <w:tblW w:w="4808" w:type="pct"/>
        <w:tblLayout w:type="fixed"/>
        <w:tblLook w:val="0000" w:firstRow="0" w:lastRow="0" w:firstColumn="0" w:lastColumn="0" w:noHBand="0" w:noVBand="0"/>
      </w:tblPr>
      <w:tblGrid>
        <w:gridCol w:w="2999"/>
        <w:gridCol w:w="1752"/>
        <w:gridCol w:w="973"/>
        <w:gridCol w:w="975"/>
        <w:gridCol w:w="1958"/>
      </w:tblGrid>
      <w:tr w:rsidR="009F1FFF" w:rsidRPr="009F1FFF" w:rsidTr="001F1CE5">
        <w:trPr>
          <w:cnfStyle w:val="000000100000" w:firstRow="0" w:lastRow="0" w:firstColumn="0" w:lastColumn="0" w:oddVBand="0" w:evenVBand="0" w:oddHBand="1" w:evenHBand="0" w:firstRowFirstColumn="0" w:firstRowLastColumn="0" w:lastRowFirstColumn="0" w:lastRowLastColumn="0"/>
          <w:trHeight w:val="609"/>
        </w:trPr>
        <w:tc>
          <w:tcPr>
            <w:cnfStyle w:val="000010000000" w:firstRow="0" w:lastRow="0" w:firstColumn="0" w:lastColumn="0" w:oddVBand="1" w:evenVBand="0" w:oddHBand="0" w:evenHBand="0" w:firstRowFirstColumn="0" w:firstRowLastColumn="0" w:lastRowFirstColumn="0" w:lastRowLastColumn="0"/>
            <w:tcW w:w="3869" w:type="pct"/>
            <w:gridSpan w:val="4"/>
            <w:shd w:val="clear" w:color="auto" w:fill="auto"/>
          </w:tcPr>
          <w:p w:rsidR="009F1FFF" w:rsidRPr="009F1FFF" w:rsidRDefault="009F1FFF" w:rsidP="001B4C2A">
            <w:pPr>
              <w:pStyle w:val="Altbilgi"/>
              <w:jc w:val="both"/>
              <w:rPr>
                <w:sz w:val="20"/>
                <w:lang w:val="en-US"/>
              </w:rPr>
            </w:pPr>
            <w:r w:rsidRPr="009F1FFF">
              <w:rPr>
                <w:sz w:val="20"/>
                <w:lang w:val="en-US"/>
              </w:rPr>
              <w:t>Co</w:t>
            </w:r>
            <w:r w:rsidR="001F1CE5">
              <w:rPr>
                <w:sz w:val="20"/>
                <w:lang w:val="en-US"/>
              </w:rPr>
              <w:t>-</w:t>
            </w:r>
            <w:r w:rsidRPr="009F1FFF">
              <w:rPr>
                <w:sz w:val="20"/>
                <w:lang w:val="en-US"/>
              </w:rPr>
              <w:t>integrated Regressions                             Calculated                 Critical Value</w:t>
            </w:r>
          </w:p>
          <w:p w:rsidR="009F1FFF" w:rsidRPr="009F1FFF" w:rsidRDefault="001F1CE5" w:rsidP="001B4C2A">
            <w:pPr>
              <w:pStyle w:val="Altbilgi"/>
              <w:jc w:val="both"/>
              <w:rPr>
                <w:sz w:val="20"/>
                <w:lang w:val="en-US"/>
              </w:rPr>
            </w:pPr>
            <w:r>
              <w:rPr>
                <w:noProof/>
                <w:sz w:val="20"/>
              </w:rPr>
              <mc:AlternateContent>
                <mc:Choice Requires="wps">
                  <w:drawing>
                    <wp:anchor distT="0" distB="0" distL="114300" distR="114300" simplePos="0" relativeHeight="251664384" behindDoc="0" locked="0" layoutInCell="1" allowOverlap="1">
                      <wp:simplePos x="0" y="0"/>
                      <wp:positionH relativeFrom="column">
                        <wp:posOffset>3103880</wp:posOffset>
                      </wp:positionH>
                      <wp:positionV relativeFrom="paragraph">
                        <wp:posOffset>170180</wp:posOffset>
                      </wp:positionV>
                      <wp:extent cx="1068705" cy="0"/>
                      <wp:effectExtent l="12065" t="9525" r="5080" b="9525"/>
                      <wp:wrapNone/>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8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4pt,13.4pt" to="328.5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546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"/>
                  </w:pict>
                </mc:Fallback>
              </mc:AlternateContent>
            </w:r>
            <w:r w:rsidR="009F1FFF" w:rsidRPr="009F1FFF">
              <w:rPr>
                <w:sz w:val="20"/>
                <w:lang w:val="en-US"/>
              </w:rPr>
              <w:t xml:space="preserve">                                                                   ADF Residuals             %5          %10     </w:t>
            </w:r>
          </w:p>
        </w:tc>
        <w:tc>
          <w:tcPr>
            <w:tcW w:w="1131" w:type="pct"/>
            <w:shd w:val="clear" w:color="auto" w:fill="auto"/>
          </w:tcPr>
          <w:p w:rsidR="009F1FFF" w:rsidRPr="009F1FFF" w:rsidRDefault="009F1FFF" w:rsidP="001B4C2A">
            <w:pPr>
              <w:jc w:val="center"/>
              <w:cnfStyle w:val="000000100000" w:firstRow="0" w:lastRow="0" w:firstColumn="0" w:lastColumn="0" w:oddVBand="0" w:evenVBand="0" w:oddHBand="1" w:evenHBand="0" w:firstRowFirstColumn="0" w:firstRowLastColumn="0" w:lastRowFirstColumn="0" w:lastRowLastColumn="0"/>
              <w:rPr>
                <w:sz w:val="20"/>
                <w:lang w:val="en-US"/>
              </w:rPr>
            </w:pPr>
          </w:p>
          <w:p w:rsidR="009F1FFF" w:rsidRPr="009F1FFF" w:rsidRDefault="009F1FFF" w:rsidP="001B4C2A">
            <w:pPr>
              <w:pStyle w:val="Altbilgi"/>
              <w:jc w:val="center"/>
              <w:cnfStyle w:val="000000100000" w:firstRow="0" w:lastRow="0" w:firstColumn="0" w:lastColumn="0" w:oddVBand="0" w:evenVBand="0" w:oddHBand="1" w:evenHBand="0" w:firstRowFirstColumn="0" w:firstRowLastColumn="0" w:lastRowFirstColumn="0" w:lastRowLastColumn="0"/>
              <w:rPr>
                <w:sz w:val="20"/>
                <w:lang w:val="en-US"/>
              </w:rPr>
            </w:pPr>
            <w:r w:rsidRPr="009F1FFF">
              <w:rPr>
                <w:sz w:val="20"/>
                <w:lang w:val="en-US"/>
              </w:rPr>
              <w:t>Results</w:t>
            </w:r>
          </w:p>
        </w:tc>
      </w:tr>
      <w:tr w:rsidR="009F1FFF" w:rsidRPr="009F1FFF" w:rsidTr="001F1CE5">
        <w:trPr>
          <w:trHeight w:val="158"/>
        </w:trPr>
        <w:tc>
          <w:tcPr>
            <w:cnfStyle w:val="000010000000" w:firstRow="0" w:lastRow="0" w:firstColumn="0" w:lastColumn="0" w:oddVBand="1" w:evenVBand="0" w:oddHBand="0" w:evenHBand="0" w:firstRowFirstColumn="0" w:firstRowLastColumn="0" w:lastRowFirstColumn="0" w:lastRowLastColumn="0"/>
            <w:tcW w:w="1732" w:type="pct"/>
            <w:shd w:val="clear" w:color="auto" w:fill="auto"/>
          </w:tcPr>
          <w:p w:rsidR="009F1FFF" w:rsidRPr="009F1FFF" w:rsidRDefault="009F1FFF" w:rsidP="001B4C2A">
            <w:pPr>
              <w:pStyle w:val="Altbilgi"/>
              <w:jc w:val="both"/>
              <w:rPr>
                <w:sz w:val="20"/>
                <w:lang w:val="en-US"/>
              </w:rPr>
            </w:pPr>
            <w:r w:rsidRPr="009F1FFF">
              <w:rPr>
                <w:sz w:val="20"/>
                <w:lang w:val="en-US"/>
              </w:rPr>
              <w:t>gdp = f (elec)</w:t>
            </w:r>
            <w:r w:rsidRPr="009F1FFF">
              <w:rPr>
                <w:position w:val="-10"/>
                <w:sz w:val="20"/>
                <w:lang w:val="en-US"/>
              </w:rPr>
              <w:object w:dxaOrig="180" w:dyaOrig="340">
                <v:shape id="_x0000_i1044" type="#_x0000_t75" style="width:9pt;height:17.25pt" o:ole="">
                  <v:imagedata r:id="rId53" o:title=""/>
                </v:shape>
                <o:OLEObject Type="Embed" ProgID="Equation.3" ShapeID="_x0000_i1044" DrawAspect="Content" ObjectID="_1434448063" r:id="rId59"/>
              </w:object>
            </w:r>
          </w:p>
        </w:tc>
        <w:tc>
          <w:tcPr>
            <w:tcW w:w="1012" w:type="pct"/>
            <w:shd w:val="clear" w:color="auto" w:fill="auto"/>
          </w:tcPr>
          <w:p w:rsidR="009F1FFF" w:rsidRPr="009F1FFF" w:rsidRDefault="009F1FFF" w:rsidP="001B4C2A">
            <w:pPr>
              <w:pStyle w:val="Altbilgi"/>
              <w:jc w:val="center"/>
              <w:cnfStyle w:val="000000000000" w:firstRow="0" w:lastRow="0" w:firstColumn="0" w:lastColumn="0" w:oddVBand="0" w:evenVBand="0" w:oddHBand="0" w:evenHBand="0" w:firstRowFirstColumn="0" w:firstRowLastColumn="0" w:lastRowFirstColumn="0" w:lastRowLastColumn="0"/>
              <w:rPr>
                <w:bCs/>
                <w:sz w:val="20"/>
                <w:lang w:val="en-US"/>
              </w:rPr>
            </w:pPr>
            <w:r w:rsidRPr="009F1FFF">
              <w:rPr>
                <w:bCs/>
                <w:sz w:val="20"/>
                <w:lang w:val="en-US"/>
              </w:rPr>
              <w:t xml:space="preserve">--3.32 </w:t>
            </w:r>
            <w:r w:rsidRPr="009F1FFF">
              <w:rPr>
                <w:bCs/>
                <w:position w:val="-10"/>
                <w:sz w:val="20"/>
                <w:lang w:val="en-US"/>
              </w:rPr>
              <w:object w:dxaOrig="300" w:dyaOrig="340">
                <v:shape id="_x0000_i1045" type="#_x0000_t75" style="width:15pt;height:17.25pt" o:ole="">
                  <v:imagedata r:id="rId55" o:title=""/>
                </v:shape>
                <o:OLEObject Type="Embed" ProgID="Equation.3" ShapeID="_x0000_i1045" DrawAspect="Content" ObjectID="_1434448064" r:id="rId60"/>
              </w:object>
            </w:r>
          </w:p>
        </w:tc>
        <w:tc>
          <w:tcPr>
            <w:cnfStyle w:val="000010000000" w:firstRow="0" w:lastRow="0" w:firstColumn="0" w:lastColumn="0" w:oddVBand="1" w:evenVBand="0" w:oddHBand="0" w:evenHBand="0" w:firstRowFirstColumn="0" w:firstRowLastColumn="0" w:lastRowFirstColumn="0" w:lastRowLastColumn="0"/>
            <w:tcW w:w="562" w:type="pct"/>
            <w:shd w:val="clear" w:color="auto" w:fill="auto"/>
          </w:tcPr>
          <w:p w:rsidR="009F1FFF" w:rsidRPr="009F1FFF" w:rsidRDefault="009F1FFF" w:rsidP="001B4C2A">
            <w:pPr>
              <w:pStyle w:val="Altbilgi"/>
              <w:ind w:left="117"/>
              <w:jc w:val="center"/>
              <w:rPr>
                <w:sz w:val="20"/>
                <w:lang w:val="en-US"/>
              </w:rPr>
            </w:pPr>
            <w:r w:rsidRPr="009F1FFF">
              <w:rPr>
                <w:sz w:val="20"/>
                <w:lang w:val="en-US"/>
              </w:rPr>
              <w:t>-2,94</w:t>
            </w:r>
          </w:p>
        </w:tc>
        <w:tc>
          <w:tcPr>
            <w:tcW w:w="562" w:type="pct"/>
            <w:shd w:val="clear" w:color="auto" w:fill="auto"/>
          </w:tcPr>
          <w:p w:rsidR="009F1FFF" w:rsidRPr="009F1FFF" w:rsidRDefault="009F1FFF" w:rsidP="001B4C2A">
            <w:pPr>
              <w:pStyle w:val="Altbilgi"/>
              <w:jc w:val="center"/>
              <w:cnfStyle w:val="000000000000" w:firstRow="0" w:lastRow="0" w:firstColumn="0" w:lastColumn="0" w:oddVBand="0" w:evenVBand="0" w:oddHBand="0" w:evenHBand="0" w:firstRowFirstColumn="0" w:firstRowLastColumn="0" w:lastRowFirstColumn="0" w:lastRowLastColumn="0"/>
              <w:rPr>
                <w:sz w:val="20"/>
                <w:lang w:val="en-US"/>
              </w:rPr>
            </w:pPr>
            <w:r w:rsidRPr="009F1FFF">
              <w:rPr>
                <w:sz w:val="20"/>
                <w:lang w:val="en-US"/>
              </w:rPr>
              <w:t>-2,61</w:t>
            </w:r>
          </w:p>
        </w:tc>
        <w:tc>
          <w:tcPr>
            <w:cnfStyle w:val="000010000000" w:firstRow="0" w:lastRow="0" w:firstColumn="0" w:lastColumn="0" w:oddVBand="1" w:evenVBand="0" w:oddHBand="0" w:evenHBand="0" w:firstRowFirstColumn="0" w:firstRowLastColumn="0" w:lastRowFirstColumn="0" w:lastRowLastColumn="0"/>
            <w:tcW w:w="1131" w:type="pct"/>
            <w:shd w:val="clear" w:color="auto" w:fill="auto"/>
          </w:tcPr>
          <w:p w:rsidR="009F1FFF" w:rsidRPr="009F1FFF" w:rsidRDefault="009F1FFF" w:rsidP="001B4C2A">
            <w:pPr>
              <w:pStyle w:val="Altbilgi"/>
              <w:jc w:val="center"/>
              <w:rPr>
                <w:b/>
                <w:bCs/>
                <w:sz w:val="20"/>
                <w:lang w:val="en-US"/>
              </w:rPr>
            </w:pPr>
            <w:r w:rsidRPr="009F1FFF">
              <w:rPr>
                <w:b/>
                <w:bCs/>
                <w:sz w:val="20"/>
                <w:lang w:val="en-US"/>
              </w:rPr>
              <w:t>Cointegrated</w:t>
            </w:r>
          </w:p>
        </w:tc>
      </w:tr>
      <w:tr w:rsidR="001F1CE5" w:rsidRPr="009F1FFF" w:rsidTr="001F1CE5">
        <w:trPr>
          <w:cnfStyle w:val="000000100000" w:firstRow="0" w:lastRow="0" w:firstColumn="0" w:lastColumn="0" w:oddVBand="0" w:evenVBand="0" w:oddHBand="1" w:evenHBand="0" w:firstRowFirstColumn="0" w:firstRowLastColumn="0" w:lastRowFirstColumn="0" w:lastRowLastColumn="0"/>
          <w:trHeight w:val="130"/>
        </w:trPr>
        <w:tc>
          <w:tcPr>
            <w:cnfStyle w:val="000010000000" w:firstRow="0" w:lastRow="0" w:firstColumn="0" w:lastColumn="0" w:oddVBand="1" w:evenVBand="0" w:oddHBand="0" w:evenHBand="0" w:firstRowFirstColumn="0" w:firstRowLastColumn="0" w:lastRowFirstColumn="0" w:lastRowLastColumn="0"/>
            <w:tcW w:w="1732" w:type="pct"/>
            <w:shd w:val="clear" w:color="auto" w:fill="auto"/>
          </w:tcPr>
          <w:p w:rsidR="009F1FFF" w:rsidRPr="009F1FFF" w:rsidRDefault="009F1FFF" w:rsidP="001B4C2A">
            <w:pPr>
              <w:pStyle w:val="Altbilgi"/>
              <w:jc w:val="both"/>
              <w:rPr>
                <w:sz w:val="20"/>
                <w:lang w:val="en-US"/>
              </w:rPr>
            </w:pPr>
            <w:r w:rsidRPr="009F1FFF">
              <w:rPr>
                <w:sz w:val="20"/>
                <w:lang w:val="en-US"/>
              </w:rPr>
              <w:t xml:space="preserve">cons = f(gdp) </w:t>
            </w:r>
          </w:p>
        </w:tc>
        <w:tc>
          <w:tcPr>
            <w:tcW w:w="1012" w:type="pct"/>
            <w:shd w:val="clear" w:color="auto" w:fill="auto"/>
          </w:tcPr>
          <w:p w:rsidR="009F1FFF" w:rsidRPr="009F1FFF" w:rsidRDefault="009F1FFF" w:rsidP="001B4C2A">
            <w:pPr>
              <w:pStyle w:val="Altbilgi"/>
              <w:jc w:val="center"/>
              <w:cnfStyle w:val="000000100000" w:firstRow="0" w:lastRow="0" w:firstColumn="0" w:lastColumn="0" w:oddVBand="0" w:evenVBand="0" w:oddHBand="1" w:evenHBand="0" w:firstRowFirstColumn="0" w:firstRowLastColumn="0" w:lastRowFirstColumn="0" w:lastRowLastColumn="0"/>
              <w:rPr>
                <w:sz w:val="20"/>
                <w:lang w:val="en-US"/>
              </w:rPr>
            </w:pPr>
            <w:r w:rsidRPr="009F1FFF">
              <w:rPr>
                <w:sz w:val="20"/>
                <w:lang w:val="en-US"/>
              </w:rPr>
              <w:t>-3,32</w:t>
            </w:r>
            <w:r w:rsidRPr="009F1FFF">
              <w:rPr>
                <w:bCs/>
                <w:position w:val="-10"/>
                <w:sz w:val="20"/>
                <w:lang w:val="en-US"/>
              </w:rPr>
              <w:object w:dxaOrig="300" w:dyaOrig="340">
                <v:shape id="_x0000_i1046" type="#_x0000_t75" style="width:15pt;height:17.25pt" o:ole="">
                  <v:imagedata r:id="rId57" o:title=""/>
                </v:shape>
                <o:OLEObject Type="Embed" ProgID="Equation.3" ShapeID="_x0000_i1046" DrawAspect="Content" ObjectID="_1434448065" r:id="rId61"/>
              </w:object>
            </w:r>
          </w:p>
        </w:tc>
        <w:tc>
          <w:tcPr>
            <w:cnfStyle w:val="000010000000" w:firstRow="0" w:lastRow="0" w:firstColumn="0" w:lastColumn="0" w:oddVBand="1" w:evenVBand="0" w:oddHBand="0" w:evenHBand="0" w:firstRowFirstColumn="0" w:firstRowLastColumn="0" w:lastRowFirstColumn="0" w:lastRowLastColumn="0"/>
            <w:tcW w:w="562" w:type="pct"/>
            <w:shd w:val="clear" w:color="auto" w:fill="auto"/>
          </w:tcPr>
          <w:p w:rsidR="009F1FFF" w:rsidRPr="009F1FFF" w:rsidRDefault="009F1FFF" w:rsidP="001B4C2A">
            <w:pPr>
              <w:pStyle w:val="Altbilgi"/>
              <w:ind w:left="117"/>
              <w:jc w:val="center"/>
              <w:rPr>
                <w:sz w:val="20"/>
                <w:lang w:val="en-US"/>
              </w:rPr>
            </w:pPr>
            <w:r w:rsidRPr="009F1FFF">
              <w:rPr>
                <w:sz w:val="20"/>
                <w:lang w:val="en-US"/>
              </w:rPr>
              <w:t>-2.94</w:t>
            </w:r>
          </w:p>
        </w:tc>
        <w:tc>
          <w:tcPr>
            <w:tcW w:w="562" w:type="pct"/>
            <w:shd w:val="clear" w:color="auto" w:fill="auto"/>
          </w:tcPr>
          <w:p w:rsidR="009F1FFF" w:rsidRPr="009F1FFF" w:rsidRDefault="009F1FFF" w:rsidP="001B4C2A">
            <w:pPr>
              <w:pStyle w:val="Altbilgi"/>
              <w:jc w:val="center"/>
              <w:cnfStyle w:val="000000100000" w:firstRow="0" w:lastRow="0" w:firstColumn="0" w:lastColumn="0" w:oddVBand="0" w:evenVBand="0" w:oddHBand="1" w:evenHBand="0" w:firstRowFirstColumn="0" w:firstRowLastColumn="0" w:lastRowFirstColumn="0" w:lastRowLastColumn="0"/>
              <w:rPr>
                <w:sz w:val="20"/>
                <w:lang w:val="en-US"/>
              </w:rPr>
            </w:pPr>
            <w:r w:rsidRPr="009F1FFF">
              <w:rPr>
                <w:sz w:val="20"/>
                <w:lang w:val="en-US"/>
              </w:rPr>
              <w:t>-2,61</w:t>
            </w:r>
          </w:p>
        </w:tc>
        <w:tc>
          <w:tcPr>
            <w:cnfStyle w:val="000010000000" w:firstRow="0" w:lastRow="0" w:firstColumn="0" w:lastColumn="0" w:oddVBand="1" w:evenVBand="0" w:oddHBand="0" w:evenHBand="0" w:firstRowFirstColumn="0" w:firstRowLastColumn="0" w:lastRowFirstColumn="0" w:lastRowLastColumn="0"/>
            <w:tcW w:w="1131" w:type="pct"/>
            <w:shd w:val="clear" w:color="auto" w:fill="auto"/>
          </w:tcPr>
          <w:p w:rsidR="009F1FFF" w:rsidRPr="009F1FFF" w:rsidRDefault="009F1FFF" w:rsidP="001B4C2A">
            <w:pPr>
              <w:pStyle w:val="Altbilgi"/>
              <w:jc w:val="center"/>
              <w:rPr>
                <w:b/>
                <w:sz w:val="20"/>
                <w:lang w:val="en-US"/>
              </w:rPr>
            </w:pPr>
            <w:r w:rsidRPr="009F1FFF">
              <w:rPr>
                <w:b/>
                <w:sz w:val="20"/>
                <w:lang w:val="en-US"/>
              </w:rPr>
              <w:t>Cointegrated</w:t>
            </w:r>
          </w:p>
        </w:tc>
      </w:tr>
    </w:tbl>
    <w:p w:rsidR="009F1FFF" w:rsidRPr="009F1FFF" w:rsidRDefault="009F1FFF" w:rsidP="009F1FFF">
      <w:pPr>
        <w:pStyle w:val="GvdeMetniGirintisi"/>
        <w:spacing w:after="0"/>
        <w:ind w:left="0"/>
        <w:rPr>
          <w:b/>
          <w:bCs/>
          <w:sz w:val="20"/>
          <w:lang w:val="en-US"/>
        </w:rPr>
      </w:pPr>
    </w:p>
    <w:p w:rsidR="009F1FFF" w:rsidRDefault="009F1FFF" w:rsidP="009F1FFF">
      <w:pPr>
        <w:pStyle w:val="GvdeMetniGirintisi"/>
        <w:spacing w:after="0"/>
        <w:ind w:left="0"/>
        <w:rPr>
          <w:b/>
          <w:bCs/>
          <w:sz w:val="20"/>
          <w:lang w:val="en-US"/>
        </w:rPr>
      </w:pPr>
    </w:p>
    <w:p w:rsidR="001F1CE5" w:rsidRPr="009F1FFF" w:rsidRDefault="001F1CE5" w:rsidP="009F1FFF">
      <w:pPr>
        <w:pStyle w:val="GvdeMetniGirintisi"/>
        <w:spacing w:after="0"/>
        <w:ind w:left="0"/>
        <w:rPr>
          <w:b/>
          <w:bCs/>
          <w:sz w:val="20"/>
          <w:lang w:val="en-US"/>
        </w:rPr>
      </w:pPr>
    </w:p>
    <w:p w:rsidR="009F1FFF" w:rsidRPr="009F1FFF" w:rsidRDefault="009F1FFF" w:rsidP="009F1FFF">
      <w:pPr>
        <w:autoSpaceDE w:val="0"/>
        <w:autoSpaceDN w:val="0"/>
        <w:adjustRightInd w:val="0"/>
        <w:jc w:val="both"/>
        <w:rPr>
          <w:lang w:val="en-US"/>
        </w:rPr>
      </w:pPr>
      <w:r w:rsidRPr="009F1FFF">
        <w:rPr>
          <w:lang w:val="en-US"/>
        </w:rPr>
        <w:t>However, existence of a long-run relationship does not necessarily imply a short-run relationship. Therefore, an error-correction mechanism as in equations (4) and (5) is needed.</w:t>
      </w:r>
    </w:p>
    <w:p w:rsidR="009F1FFF" w:rsidRPr="009F1FFF" w:rsidRDefault="009F1FFF" w:rsidP="009F1FFF">
      <w:pPr>
        <w:autoSpaceDE w:val="0"/>
        <w:autoSpaceDN w:val="0"/>
        <w:adjustRightInd w:val="0"/>
        <w:rPr>
          <w:lang w:val="en-US"/>
        </w:rPr>
      </w:pPr>
    </w:p>
    <w:p w:rsidR="009F1FFF" w:rsidRPr="009F1FFF" w:rsidRDefault="009F1FFF" w:rsidP="009F1FFF">
      <w:pPr>
        <w:autoSpaceDE w:val="0"/>
        <w:autoSpaceDN w:val="0"/>
        <w:adjustRightInd w:val="0"/>
        <w:rPr>
          <w:b/>
          <w:bCs/>
          <w:lang w:val="en-US"/>
        </w:rPr>
      </w:pPr>
    </w:p>
    <w:p w:rsidR="009F1FFF" w:rsidRDefault="001F1CE5" w:rsidP="001F1CE5">
      <w:pPr>
        <w:pStyle w:val="GvdeMetniGirintisi"/>
        <w:spacing w:after="0"/>
        <w:ind w:left="0"/>
        <w:jc w:val="center"/>
        <w:rPr>
          <w:bCs/>
          <w:sz w:val="22"/>
          <w:lang w:val="en-US"/>
        </w:rPr>
      </w:pPr>
      <w:r>
        <w:rPr>
          <w:bCs/>
          <w:sz w:val="22"/>
          <w:lang w:val="en-US"/>
        </w:rPr>
        <w:lastRenderedPageBreak/>
        <w:t>Table 5</w:t>
      </w:r>
      <w:r w:rsidR="009F1FFF" w:rsidRPr="001F1CE5">
        <w:rPr>
          <w:bCs/>
          <w:sz w:val="22"/>
          <w:lang w:val="en-US"/>
        </w:rPr>
        <w:t xml:space="preserve"> Error Correction Models and Granger Causality Test</w:t>
      </w:r>
    </w:p>
    <w:p w:rsidR="001F1CE5" w:rsidRPr="001F1CE5" w:rsidRDefault="001F1CE5" w:rsidP="001F1CE5">
      <w:pPr>
        <w:pStyle w:val="GvdeMetniGirintisi"/>
        <w:spacing w:after="0"/>
        <w:ind w:left="0"/>
        <w:jc w:val="center"/>
        <w:rPr>
          <w:bCs/>
          <w:sz w:val="22"/>
          <w:lang w:val="en-US"/>
        </w:rPr>
      </w:pPr>
    </w:p>
    <w:tbl>
      <w:tblPr>
        <w:tblStyle w:val="AkGlgeleme"/>
        <w:tblW w:w="4495" w:type="pct"/>
        <w:jc w:val="center"/>
        <w:tblLook w:val="0000" w:firstRow="0" w:lastRow="0" w:firstColumn="0" w:lastColumn="0" w:noHBand="0" w:noVBand="0"/>
      </w:tblPr>
      <w:tblGrid>
        <w:gridCol w:w="1827"/>
        <w:gridCol w:w="2278"/>
        <w:gridCol w:w="1703"/>
        <w:gridCol w:w="2286"/>
      </w:tblGrid>
      <w:tr w:rsidR="009F1FFF" w:rsidRPr="009F1FFF" w:rsidTr="001F1CE5">
        <w:trPr>
          <w:cnfStyle w:val="000000100000" w:firstRow="0" w:lastRow="0" w:firstColumn="0" w:lastColumn="0" w:oddVBand="0" w:evenVBand="0" w:oddHBand="1" w:evenHBand="0" w:firstRowFirstColumn="0" w:firstRowLastColumn="0" w:lastRowFirstColumn="0" w:lastRowLastColumn="0"/>
          <w:trHeight w:val="315"/>
          <w:jc w:val="center"/>
        </w:trPr>
        <w:tc>
          <w:tcPr>
            <w:cnfStyle w:val="000010000000" w:firstRow="0" w:lastRow="0" w:firstColumn="0" w:lastColumn="0" w:oddVBand="1" w:evenVBand="0" w:oddHBand="0" w:evenHBand="0" w:firstRowFirstColumn="0" w:firstRowLastColumn="0" w:lastRowFirstColumn="0" w:lastRowLastColumn="0"/>
            <w:tcW w:w="1129" w:type="pct"/>
            <w:vMerge w:val="restart"/>
            <w:shd w:val="clear" w:color="auto" w:fill="auto"/>
          </w:tcPr>
          <w:p w:rsidR="009F1FFF" w:rsidRPr="009F1FFF" w:rsidRDefault="009F1FFF" w:rsidP="001B4C2A">
            <w:pPr>
              <w:pStyle w:val="GvdeMetniGirintisi"/>
              <w:spacing w:after="0"/>
              <w:rPr>
                <w:sz w:val="20"/>
                <w:lang w:val="en-US"/>
              </w:rPr>
            </w:pPr>
            <w:r w:rsidRPr="009F1FFF">
              <w:rPr>
                <w:sz w:val="20"/>
                <w:lang w:val="en-US"/>
              </w:rPr>
              <w:t xml:space="preserve">Dependent Variable </w:t>
            </w:r>
          </w:p>
        </w:tc>
        <w:tc>
          <w:tcPr>
            <w:tcW w:w="1407" w:type="pct"/>
            <w:shd w:val="clear" w:color="auto" w:fill="auto"/>
          </w:tcPr>
          <w:p w:rsidR="009F1FFF" w:rsidRPr="009F1FFF" w:rsidRDefault="009F1FFF" w:rsidP="001B4C2A">
            <w:pPr>
              <w:pStyle w:val="GvdeMetniGirintisi"/>
              <w:spacing w:after="0"/>
              <w:ind w:left="125"/>
              <w:jc w:val="center"/>
              <w:cnfStyle w:val="000000100000" w:firstRow="0" w:lastRow="0" w:firstColumn="0" w:lastColumn="0" w:oddVBand="0" w:evenVBand="0" w:oddHBand="1" w:evenHBand="0" w:firstRowFirstColumn="0" w:firstRowLastColumn="0" w:lastRowFirstColumn="0" w:lastRowLastColumn="0"/>
              <w:rPr>
                <w:sz w:val="20"/>
                <w:lang w:val="en-US"/>
              </w:rPr>
            </w:pPr>
            <w:r w:rsidRPr="009F1FFF">
              <w:rPr>
                <w:sz w:val="20"/>
                <w:lang w:val="en-US"/>
              </w:rPr>
              <w:t>Wald Test</w:t>
            </w:r>
          </w:p>
        </w:tc>
        <w:tc>
          <w:tcPr>
            <w:cnfStyle w:val="000010000000" w:firstRow="0" w:lastRow="0" w:firstColumn="0" w:lastColumn="0" w:oddVBand="1" w:evenVBand="0" w:oddHBand="0" w:evenHBand="0" w:firstRowFirstColumn="0" w:firstRowLastColumn="0" w:lastRowFirstColumn="0" w:lastRowLastColumn="0"/>
            <w:tcW w:w="1052" w:type="pct"/>
            <w:vMerge w:val="restart"/>
            <w:shd w:val="clear" w:color="auto" w:fill="auto"/>
          </w:tcPr>
          <w:p w:rsidR="009F1FFF" w:rsidRPr="009F1FFF" w:rsidRDefault="009F1FFF" w:rsidP="001B4C2A">
            <w:pPr>
              <w:pStyle w:val="GvdeMetniGirintisi"/>
              <w:spacing w:after="0"/>
              <w:ind w:left="0"/>
              <w:rPr>
                <w:b/>
                <w:sz w:val="20"/>
                <w:lang w:val="en-US"/>
              </w:rPr>
            </w:pPr>
            <w:r w:rsidRPr="009F1FFF">
              <w:rPr>
                <w:b/>
                <w:bCs/>
                <w:sz w:val="20"/>
                <w:lang w:val="en-US"/>
              </w:rPr>
              <w:t xml:space="preserve">   ECM-1(t-test)</w:t>
            </w:r>
          </w:p>
        </w:tc>
        <w:tc>
          <w:tcPr>
            <w:tcW w:w="1412" w:type="pct"/>
            <w:shd w:val="clear" w:color="auto" w:fill="auto"/>
          </w:tcPr>
          <w:p w:rsidR="009F1FFF" w:rsidRPr="009F1FFF" w:rsidRDefault="009F1FFF" w:rsidP="001B4C2A">
            <w:pPr>
              <w:pStyle w:val="GvdeMetniGirintisi"/>
              <w:spacing w:after="0"/>
              <w:jc w:val="center"/>
              <w:cnfStyle w:val="000000100000" w:firstRow="0" w:lastRow="0" w:firstColumn="0" w:lastColumn="0" w:oddVBand="0" w:evenVBand="0" w:oddHBand="1" w:evenHBand="0" w:firstRowFirstColumn="0" w:firstRowLastColumn="0" w:lastRowFirstColumn="0" w:lastRowLastColumn="0"/>
              <w:rPr>
                <w:sz w:val="20"/>
                <w:lang w:val="en-US"/>
              </w:rPr>
            </w:pPr>
            <w:r w:rsidRPr="009F1FFF">
              <w:rPr>
                <w:sz w:val="20"/>
                <w:lang w:val="en-US"/>
              </w:rPr>
              <w:t>Wald Test</w:t>
            </w:r>
          </w:p>
        </w:tc>
      </w:tr>
      <w:tr w:rsidR="009F1FFF" w:rsidRPr="009F1FFF" w:rsidTr="001F1CE5">
        <w:trPr>
          <w:trHeight w:val="315"/>
          <w:jc w:val="center"/>
        </w:trPr>
        <w:tc>
          <w:tcPr>
            <w:cnfStyle w:val="000010000000" w:firstRow="0" w:lastRow="0" w:firstColumn="0" w:lastColumn="0" w:oddVBand="1" w:evenVBand="0" w:oddHBand="0" w:evenHBand="0" w:firstRowFirstColumn="0" w:firstRowLastColumn="0" w:lastRowFirstColumn="0" w:lastRowLastColumn="0"/>
            <w:tcW w:w="1129" w:type="pct"/>
            <w:vMerge/>
            <w:shd w:val="clear" w:color="auto" w:fill="auto"/>
          </w:tcPr>
          <w:p w:rsidR="009F1FFF" w:rsidRPr="009F1FFF" w:rsidRDefault="009F1FFF" w:rsidP="001B4C2A">
            <w:pPr>
              <w:pStyle w:val="GvdeMetniGirintisi"/>
              <w:spacing w:after="0"/>
              <w:rPr>
                <w:sz w:val="20"/>
                <w:lang w:val="en-US"/>
              </w:rPr>
            </w:pPr>
          </w:p>
        </w:tc>
        <w:tc>
          <w:tcPr>
            <w:tcW w:w="1407" w:type="pct"/>
            <w:shd w:val="clear" w:color="auto" w:fill="auto"/>
          </w:tcPr>
          <w:p w:rsidR="009F1FFF" w:rsidRPr="009F1FFF" w:rsidRDefault="009F1FFF" w:rsidP="001B4C2A">
            <w:pPr>
              <w:pStyle w:val="GvdeMetniGirintisi"/>
              <w:spacing w:after="0"/>
              <w:jc w:val="center"/>
              <w:cnfStyle w:val="000000000000" w:firstRow="0" w:lastRow="0" w:firstColumn="0" w:lastColumn="0" w:oddVBand="0" w:evenVBand="0" w:oddHBand="0" w:evenHBand="0" w:firstRowFirstColumn="0" w:firstRowLastColumn="0" w:lastRowFirstColumn="0" w:lastRowLastColumn="0"/>
              <w:rPr>
                <w:sz w:val="20"/>
                <w:lang w:val="en-US"/>
              </w:rPr>
            </w:pPr>
            <w:r w:rsidRPr="009F1FFF">
              <w:rPr>
                <w:bCs/>
                <w:sz w:val="20"/>
                <w:lang w:val="en-US"/>
              </w:rPr>
              <w:sym w:font="Symbol" w:char="F053"/>
            </w:r>
            <w:r w:rsidRPr="009F1FFF">
              <w:rPr>
                <w:sz w:val="20"/>
                <w:lang w:val="en-US"/>
              </w:rPr>
              <w:t>∆elec</w:t>
            </w:r>
          </w:p>
        </w:tc>
        <w:tc>
          <w:tcPr>
            <w:cnfStyle w:val="000010000000" w:firstRow="0" w:lastRow="0" w:firstColumn="0" w:lastColumn="0" w:oddVBand="1" w:evenVBand="0" w:oddHBand="0" w:evenHBand="0" w:firstRowFirstColumn="0" w:firstRowLastColumn="0" w:lastRowFirstColumn="0" w:lastRowLastColumn="0"/>
            <w:tcW w:w="1052" w:type="pct"/>
            <w:vMerge/>
            <w:shd w:val="clear" w:color="auto" w:fill="auto"/>
          </w:tcPr>
          <w:p w:rsidR="009F1FFF" w:rsidRPr="009F1FFF" w:rsidRDefault="009F1FFF" w:rsidP="001B4C2A">
            <w:pPr>
              <w:pStyle w:val="GvdeMetniGirintisi"/>
              <w:spacing w:after="0"/>
              <w:rPr>
                <w:b/>
                <w:sz w:val="20"/>
                <w:lang w:val="en-US"/>
              </w:rPr>
            </w:pPr>
          </w:p>
        </w:tc>
        <w:tc>
          <w:tcPr>
            <w:tcW w:w="1412" w:type="pct"/>
            <w:shd w:val="clear" w:color="auto" w:fill="auto"/>
          </w:tcPr>
          <w:p w:rsidR="009F1FFF" w:rsidRPr="009F1FFF" w:rsidRDefault="009F1FFF" w:rsidP="001B4C2A">
            <w:pPr>
              <w:pStyle w:val="GvdeMetniGirintisi"/>
              <w:spacing w:after="0"/>
              <w:ind w:hanging="265"/>
              <w:cnfStyle w:val="000000000000" w:firstRow="0" w:lastRow="0" w:firstColumn="0" w:lastColumn="0" w:oddVBand="0" w:evenVBand="0" w:oddHBand="0" w:evenHBand="0" w:firstRowFirstColumn="0" w:firstRowLastColumn="0" w:lastRowFirstColumn="0" w:lastRowLastColumn="0"/>
              <w:rPr>
                <w:sz w:val="20"/>
                <w:lang w:val="en-US"/>
              </w:rPr>
            </w:pPr>
            <w:r w:rsidRPr="009F1FFF">
              <w:rPr>
                <w:bCs/>
                <w:sz w:val="20"/>
                <w:lang w:val="en-US"/>
              </w:rPr>
              <w:t xml:space="preserve">( </w:t>
            </w:r>
            <w:r w:rsidRPr="009F1FFF">
              <w:rPr>
                <w:bCs/>
                <w:sz w:val="20"/>
                <w:lang w:val="en-US"/>
              </w:rPr>
              <w:sym w:font="Symbol" w:char="F053"/>
            </w:r>
            <w:r w:rsidRPr="009F1FFF">
              <w:rPr>
                <w:bCs/>
                <w:sz w:val="20"/>
                <w:lang w:val="en-US"/>
              </w:rPr>
              <w:t>Delec, ECM-1)</w:t>
            </w:r>
          </w:p>
        </w:tc>
      </w:tr>
      <w:tr w:rsidR="009F1FFF" w:rsidRPr="009F1FFF" w:rsidTr="001F1CE5">
        <w:trPr>
          <w:cnfStyle w:val="000000100000" w:firstRow="0" w:lastRow="0" w:firstColumn="0" w:lastColumn="0" w:oddVBand="0" w:evenVBand="0" w:oddHBand="1" w:evenHBand="0" w:firstRowFirstColumn="0" w:firstRowLastColumn="0" w:lastRowFirstColumn="0" w:lastRowLastColumn="0"/>
          <w:trHeight w:val="315"/>
          <w:jc w:val="center"/>
        </w:trPr>
        <w:tc>
          <w:tcPr>
            <w:cnfStyle w:val="000010000000" w:firstRow="0" w:lastRow="0" w:firstColumn="0" w:lastColumn="0" w:oddVBand="1" w:evenVBand="0" w:oddHBand="0" w:evenHBand="0" w:firstRowFirstColumn="0" w:firstRowLastColumn="0" w:lastRowFirstColumn="0" w:lastRowLastColumn="0"/>
            <w:tcW w:w="1129" w:type="pct"/>
            <w:shd w:val="clear" w:color="auto" w:fill="auto"/>
          </w:tcPr>
          <w:p w:rsidR="009F1FFF" w:rsidRPr="009F1FFF" w:rsidRDefault="009F1FFF" w:rsidP="001B4C2A">
            <w:pPr>
              <w:pStyle w:val="GvdeMetniGirintisi"/>
              <w:spacing w:after="0"/>
              <w:rPr>
                <w:sz w:val="20"/>
                <w:lang w:val="en-US"/>
              </w:rPr>
            </w:pPr>
            <w:r w:rsidRPr="009F1FFF">
              <w:rPr>
                <w:sz w:val="20"/>
                <w:lang w:val="en-US"/>
              </w:rPr>
              <w:t xml:space="preserve"> ∆gdp</w:t>
            </w:r>
          </w:p>
        </w:tc>
        <w:tc>
          <w:tcPr>
            <w:tcW w:w="1407" w:type="pct"/>
            <w:shd w:val="clear" w:color="auto" w:fill="auto"/>
          </w:tcPr>
          <w:p w:rsidR="009F1FFF" w:rsidRPr="009F1FFF" w:rsidRDefault="009F1FFF" w:rsidP="001B4C2A">
            <w:pPr>
              <w:pStyle w:val="GvdeMetniGirintisi"/>
              <w:spacing w:after="0"/>
              <w:ind w:left="0"/>
              <w:cnfStyle w:val="000000100000" w:firstRow="0" w:lastRow="0" w:firstColumn="0" w:lastColumn="0" w:oddVBand="0" w:evenVBand="0" w:oddHBand="1" w:evenHBand="0" w:firstRowFirstColumn="0" w:firstRowLastColumn="0" w:lastRowFirstColumn="0" w:lastRowLastColumn="0"/>
              <w:rPr>
                <w:sz w:val="20"/>
                <w:lang w:val="en-US"/>
              </w:rPr>
            </w:pPr>
            <w:r w:rsidRPr="009F1FFF">
              <w:rPr>
                <w:sz w:val="20"/>
                <w:lang w:val="en-US"/>
              </w:rPr>
              <w:sym w:font="Symbol" w:char="F063"/>
            </w:r>
            <w:r w:rsidRPr="009F1FFF">
              <w:rPr>
                <w:sz w:val="20"/>
                <w:vertAlign w:val="superscript"/>
                <w:lang w:val="en-US"/>
              </w:rPr>
              <w:t xml:space="preserve">2 </w:t>
            </w:r>
            <w:r w:rsidRPr="009F1FFF">
              <w:rPr>
                <w:sz w:val="20"/>
                <w:lang w:val="en-US"/>
              </w:rPr>
              <w:t>(2)=164,70(0,0000)</w:t>
            </w:r>
            <w:r w:rsidRPr="009F1FFF">
              <w:rPr>
                <w:sz w:val="20"/>
                <w:vertAlign w:val="superscript"/>
                <w:lang w:val="en-US"/>
              </w:rPr>
              <w:t xml:space="preserve"> ***</w:t>
            </w:r>
          </w:p>
        </w:tc>
        <w:tc>
          <w:tcPr>
            <w:cnfStyle w:val="000010000000" w:firstRow="0" w:lastRow="0" w:firstColumn="0" w:lastColumn="0" w:oddVBand="1" w:evenVBand="0" w:oddHBand="0" w:evenHBand="0" w:firstRowFirstColumn="0" w:firstRowLastColumn="0" w:lastRowFirstColumn="0" w:lastRowLastColumn="0"/>
            <w:tcW w:w="1052" w:type="pct"/>
            <w:shd w:val="clear" w:color="auto" w:fill="auto"/>
          </w:tcPr>
          <w:p w:rsidR="009F1FFF" w:rsidRPr="009F1FFF" w:rsidRDefault="009F1FFF" w:rsidP="001B4C2A">
            <w:pPr>
              <w:pStyle w:val="GvdeMetniGirintisi"/>
              <w:spacing w:after="0"/>
              <w:rPr>
                <w:b/>
                <w:bCs/>
                <w:sz w:val="20"/>
                <w:lang w:val="en-US"/>
              </w:rPr>
            </w:pPr>
            <w:r w:rsidRPr="009F1FFF">
              <w:rPr>
                <w:b/>
                <w:bCs/>
                <w:sz w:val="20"/>
                <w:lang w:val="en-US"/>
              </w:rPr>
              <w:t>-0,014 (2,70)</w:t>
            </w:r>
          </w:p>
        </w:tc>
        <w:tc>
          <w:tcPr>
            <w:tcW w:w="1412" w:type="pct"/>
            <w:shd w:val="clear" w:color="auto" w:fill="auto"/>
          </w:tcPr>
          <w:p w:rsidR="009F1FFF" w:rsidRPr="009F1FFF" w:rsidRDefault="009F1FFF" w:rsidP="001B4C2A">
            <w:pPr>
              <w:pStyle w:val="GvdeMetniGirintisi"/>
              <w:spacing w:after="0"/>
              <w:cnfStyle w:val="000000100000" w:firstRow="0" w:lastRow="0" w:firstColumn="0" w:lastColumn="0" w:oddVBand="0" w:evenVBand="0" w:oddHBand="1" w:evenHBand="0" w:firstRowFirstColumn="0" w:firstRowLastColumn="0" w:lastRowFirstColumn="0" w:lastRowLastColumn="0"/>
              <w:rPr>
                <w:sz w:val="20"/>
                <w:lang w:val="en-US"/>
              </w:rPr>
            </w:pPr>
            <w:r w:rsidRPr="009F1FFF">
              <w:rPr>
                <w:sz w:val="20"/>
                <w:lang w:val="en-US"/>
              </w:rPr>
              <w:sym w:font="Symbol" w:char="F063"/>
            </w:r>
            <w:r w:rsidRPr="009F1FFF">
              <w:rPr>
                <w:sz w:val="20"/>
                <w:vertAlign w:val="superscript"/>
                <w:lang w:val="en-US"/>
              </w:rPr>
              <w:t xml:space="preserve">2 </w:t>
            </w:r>
            <w:r w:rsidRPr="009F1FFF">
              <w:rPr>
                <w:sz w:val="20"/>
                <w:lang w:val="en-US"/>
              </w:rPr>
              <w:t>(3)=165(0,0000)</w:t>
            </w:r>
            <w:r w:rsidRPr="009F1FFF">
              <w:rPr>
                <w:sz w:val="20"/>
                <w:vertAlign w:val="superscript"/>
                <w:lang w:val="en-US"/>
              </w:rPr>
              <w:t xml:space="preserve"> ***</w:t>
            </w:r>
          </w:p>
        </w:tc>
      </w:tr>
      <w:tr w:rsidR="009F1FFF" w:rsidRPr="009F1FFF" w:rsidTr="001F1CE5">
        <w:trPr>
          <w:trHeight w:val="315"/>
          <w:jc w:val="center"/>
        </w:trPr>
        <w:tc>
          <w:tcPr>
            <w:cnfStyle w:val="000010000000" w:firstRow="0" w:lastRow="0" w:firstColumn="0" w:lastColumn="0" w:oddVBand="1" w:evenVBand="0" w:oddHBand="0" w:evenHBand="0" w:firstRowFirstColumn="0" w:firstRowLastColumn="0" w:lastRowFirstColumn="0" w:lastRowLastColumn="0"/>
            <w:tcW w:w="1129" w:type="pct"/>
            <w:shd w:val="clear" w:color="auto" w:fill="auto"/>
          </w:tcPr>
          <w:p w:rsidR="009F1FFF" w:rsidRPr="009F1FFF" w:rsidRDefault="009F1FFF" w:rsidP="001B4C2A">
            <w:pPr>
              <w:pStyle w:val="GvdeMetniGirintisi"/>
              <w:spacing w:after="0"/>
              <w:rPr>
                <w:sz w:val="20"/>
                <w:lang w:val="en-US"/>
              </w:rPr>
            </w:pPr>
          </w:p>
        </w:tc>
        <w:tc>
          <w:tcPr>
            <w:tcW w:w="1407" w:type="pct"/>
            <w:shd w:val="clear" w:color="auto" w:fill="auto"/>
          </w:tcPr>
          <w:p w:rsidR="009F1FFF" w:rsidRPr="009F1FFF" w:rsidRDefault="009F1FFF" w:rsidP="001B4C2A">
            <w:pPr>
              <w:pStyle w:val="GvdeMetniGirintisi"/>
              <w:spacing w:after="0"/>
              <w:jc w:val="center"/>
              <w:cnfStyle w:val="000000000000" w:firstRow="0" w:lastRow="0" w:firstColumn="0" w:lastColumn="0" w:oddVBand="0" w:evenVBand="0" w:oddHBand="0" w:evenHBand="0" w:firstRowFirstColumn="0" w:firstRowLastColumn="0" w:lastRowFirstColumn="0" w:lastRowLastColumn="0"/>
              <w:rPr>
                <w:sz w:val="20"/>
                <w:lang w:val="en-US"/>
              </w:rPr>
            </w:pPr>
            <w:r w:rsidRPr="009F1FFF">
              <w:rPr>
                <w:sz w:val="20"/>
                <w:lang w:val="en-US"/>
              </w:rPr>
              <w:t>∆gdp</w:t>
            </w:r>
          </w:p>
        </w:tc>
        <w:tc>
          <w:tcPr>
            <w:cnfStyle w:val="000010000000" w:firstRow="0" w:lastRow="0" w:firstColumn="0" w:lastColumn="0" w:oddVBand="1" w:evenVBand="0" w:oddHBand="0" w:evenHBand="0" w:firstRowFirstColumn="0" w:firstRowLastColumn="0" w:lastRowFirstColumn="0" w:lastRowLastColumn="0"/>
            <w:tcW w:w="1052" w:type="pct"/>
            <w:shd w:val="clear" w:color="auto" w:fill="auto"/>
          </w:tcPr>
          <w:p w:rsidR="009F1FFF" w:rsidRPr="009F1FFF" w:rsidRDefault="009F1FFF" w:rsidP="001B4C2A">
            <w:pPr>
              <w:pStyle w:val="GvdeMetniGirintisi"/>
              <w:spacing w:after="0"/>
              <w:rPr>
                <w:b/>
                <w:bCs/>
                <w:sz w:val="20"/>
                <w:lang w:val="en-US"/>
              </w:rPr>
            </w:pPr>
          </w:p>
        </w:tc>
        <w:tc>
          <w:tcPr>
            <w:tcW w:w="1412" w:type="pct"/>
            <w:shd w:val="clear" w:color="auto" w:fill="auto"/>
          </w:tcPr>
          <w:p w:rsidR="009F1FFF" w:rsidRPr="009F1FFF" w:rsidRDefault="009F1FFF" w:rsidP="001B4C2A">
            <w:pPr>
              <w:pStyle w:val="GvdeMetniGirintisi"/>
              <w:spacing w:after="0"/>
              <w:jc w:val="center"/>
              <w:cnfStyle w:val="000000000000" w:firstRow="0" w:lastRow="0" w:firstColumn="0" w:lastColumn="0" w:oddVBand="0" w:evenVBand="0" w:oddHBand="0" w:evenHBand="0" w:firstRowFirstColumn="0" w:firstRowLastColumn="0" w:lastRowFirstColumn="0" w:lastRowLastColumn="0"/>
              <w:rPr>
                <w:sz w:val="20"/>
                <w:lang w:val="en-US"/>
              </w:rPr>
            </w:pPr>
            <w:r w:rsidRPr="009F1FFF">
              <w:rPr>
                <w:bCs/>
                <w:sz w:val="20"/>
                <w:lang w:val="en-US"/>
              </w:rPr>
              <w:t xml:space="preserve">( </w:t>
            </w:r>
            <w:r w:rsidRPr="009F1FFF">
              <w:rPr>
                <w:bCs/>
                <w:sz w:val="20"/>
                <w:lang w:val="en-US"/>
              </w:rPr>
              <w:sym w:font="Symbol" w:char="F053"/>
            </w:r>
            <w:r w:rsidRPr="009F1FFF">
              <w:rPr>
                <w:bCs/>
                <w:sz w:val="20"/>
                <w:lang w:val="en-US"/>
              </w:rPr>
              <w:t>gdp, ECM-1)</w:t>
            </w:r>
          </w:p>
        </w:tc>
      </w:tr>
      <w:tr w:rsidR="009F1FFF" w:rsidRPr="009F1FFF" w:rsidTr="001F1CE5">
        <w:trPr>
          <w:cnfStyle w:val="000000100000" w:firstRow="0" w:lastRow="0" w:firstColumn="0" w:lastColumn="0" w:oddVBand="0" w:evenVBand="0" w:oddHBand="1" w:evenHBand="0" w:firstRowFirstColumn="0" w:firstRowLastColumn="0" w:lastRowFirstColumn="0" w:lastRowLastColumn="0"/>
          <w:trHeight w:val="315"/>
          <w:jc w:val="center"/>
        </w:trPr>
        <w:tc>
          <w:tcPr>
            <w:cnfStyle w:val="000010000000" w:firstRow="0" w:lastRow="0" w:firstColumn="0" w:lastColumn="0" w:oddVBand="1" w:evenVBand="0" w:oddHBand="0" w:evenHBand="0" w:firstRowFirstColumn="0" w:firstRowLastColumn="0" w:lastRowFirstColumn="0" w:lastRowLastColumn="0"/>
            <w:tcW w:w="1129" w:type="pct"/>
            <w:shd w:val="clear" w:color="auto" w:fill="auto"/>
          </w:tcPr>
          <w:p w:rsidR="009F1FFF" w:rsidRPr="009F1FFF" w:rsidRDefault="009F1FFF" w:rsidP="001B4C2A">
            <w:pPr>
              <w:pStyle w:val="GvdeMetniGirintisi"/>
              <w:spacing w:after="0"/>
              <w:rPr>
                <w:sz w:val="20"/>
                <w:lang w:val="en-US"/>
              </w:rPr>
            </w:pPr>
            <w:r w:rsidRPr="009F1FFF">
              <w:rPr>
                <w:bCs/>
                <w:sz w:val="20"/>
                <w:lang w:val="en-US"/>
              </w:rPr>
              <w:sym w:font="Symbol" w:char="F053"/>
            </w:r>
            <w:r w:rsidRPr="009F1FFF">
              <w:rPr>
                <w:sz w:val="20"/>
                <w:lang w:val="en-US"/>
              </w:rPr>
              <w:t>∆elec</w:t>
            </w:r>
          </w:p>
        </w:tc>
        <w:tc>
          <w:tcPr>
            <w:tcW w:w="1407" w:type="pct"/>
            <w:shd w:val="clear" w:color="auto" w:fill="auto"/>
          </w:tcPr>
          <w:p w:rsidR="009F1FFF" w:rsidRPr="009F1FFF" w:rsidRDefault="009F1FFF" w:rsidP="001B4C2A">
            <w:pPr>
              <w:pStyle w:val="GvdeMetniGirintisi"/>
              <w:spacing w:after="0"/>
              <w:cnfStyle w:val="000000100000" w:firstRow="0" w:lastRow="0" w:firstColumn="0" w:lastColumn="0" w:oddVBand="0" w:evenVBand="0" w:oddHBand="1" w:evenHBand="0" w:firstRowFirstColumn="0" w:firstRowLastColumn="0" w:lastRowFirstColumn="0" w:lastRowLastColumn="0"/>
              <w:rPr>
                <w:sz w:val="20"/>
                <w:lang w:val="en-US"/>
              </w:rPr>
            </w:pPr>
            <w:r w:rsidRPr="009F1FFF">
              <w:rPr>
                <w:sz w:val="20"/>
                <w:lang w:val="en-US"/>
              </w:rPr>
              <w:sym w:font="Symbol" w:char="F063"/>
            </w:r>
            <w:r w:rsidRPr="009F1FFF">
              <w:rPr>
                <w:sz w:val="20"/>
                <w:vertAlign w:val="superscript"/>
                <w:lang w:val="en-US"/>
              </w:rPr>
              <w:t xml:space="preserve">2 </w:t>
            </w:r>
            <w:r w:rsidRPr="009F1FFF">
              <w:rPr>
                <w:sz w:val="20"/>
                <w:lang w:val="en-US"/>
              </w:rPr>
              <w:t>(2)=268(0,0000)</w:t>
            </w:r>
            <w:r w:rsidRPr="009F1FFF">
              <w:rPr>
                <w:sz w:val="20"/>
                <w:vertAlign w:val="superscript"/>
                <w:lang w:val="en-US"/>
              </w:rPr>
              <w:t xml:space="preserve"> ***</w:t>
            </w:r>
          </w:p>
        </w:tc>
        <w:tc>
          <w:tcPr>
            <w:cnfStyle w:val="000010000000" w:firstRow="0" w:lastRow="0" w:firstColumn="0" w:lastColumn="0" w:oddVBand="1" w:evenVBand="0" w:oddHBand="0" w:evenHBand="0" w:firstRowFirstColumn="0" w:firstRowLastColumn="0" w:lastRowFirstColumn="0" w:lastRowLastColumn="0"/>
            <w:tcW w:w="1052" w:type="pct"/>
            <w:shd w:val="clear" w:color="auto" w:fill="auto"/>
          </w:tcPr>
          <w:p w:rsidR="009F1FFF" w:rsidRPr="009F1FFF" w:rsidRDefault="009F1FFF" w:rsidP="001B4C2A">
            <w:pPr>
              <w:pStyle w:val="GvdeMetniGirintisi"/>
              <w:spacing w:after="0"/>
              <w:ind w:left="0"/>
              <w:rPr>
                <w:b/>
                <w:bCs/>
                <w:sz w:val="20"/>
                <w:lang w:val="en-US"/>
              </w:rPr>
            </w:pPr>
            <w:r w:rsidRPr="009F1FFF">
              <w:rPr>
                <w:b/>
                <w:bCs/>
                <w:sz w:val="20"/>
                <w:lang w:val="en-US"/>
              </w:rPr>
              <w:t xml:space="preserve">     -0,16 (-3,18)</w:t>
            </w:r>
          </w:p>
        </w:tc>
        <w:tc>
          <w:tcPr>
            <w:tcW w:w="1412" w:type="pct"/>
            <w:shd w:val="clear" w:color="auto" w:fill="auto"/>
          </w:tcPr>
          <w:p w:rsidR="009F1FFF" w:rsidRPr="009F1FFF" w:rsidRDefault="009F1FFF" w:rsidP="001B4C2A">
            <w:pPr>
              <w:pStyle w:val="GvdeMetniGirintisi"/>
              <w:spacing w:after="0"/>
              <w:cnfStyle w:val="000000100000" w:firstRow="0" w:lastRow="0" w:firstColumn="0" w:lastColumn="0" w:oddVBand="0" w:evenVBand="0" w:oddHBand="1" w:evenHBand="0" w:firstRowFirstColumn="0" w:firstRowLastColumn="0" w:lastRowFirstColumn="0" w:lastRowLastColumn="0"/>
              <w:rPr>
                <w:sz w:val="20"/>
                <w:lang w:val="en-US"/>
              </w:rPr>
            </w:pPr>
            <w:r w:rsidRPr="009F1FFF">
              <w:rPr>
                <w:sz w:val="20"/>
                <w:lang w:val="en-US"/>
              </w:rPr>
              <w:sym w:font="Symbol" w:char="F063"/>
            </w:r>
            <w:r w:rsidRPr="009F1FFF">
              <w:rPr>
                <w:sz w:val="20"/>
                <w:vertAlign w:val="superscript"/>
                <w:lang w:val="en-US"/>
              </w:rPr>
              <w:t xml:space="preserve">2 </w:t>
            </w:r>
            <w:r w:rsidRPr="009F1FFF">
              <w:rPr>
                <w:sz w:val="20"/>
                <w:lang w:val="en-US"/>
              </w:rPr>
              <w:t>(3)=178(0,0000)</w:t>
            </w:r>
            <w:r w:rsidRPr="009F1FFF">
              <w:rPr>
                <w:sz w:val="20"/>
                <w:vertAlign w:val="superscript"/>
                <w:lang w:val="en-US"/>
              </w:rPr>
              <w:t xml:space="preserve"> ***</w:t>
            </w:r>
          </w:p>
        </w:tc>
      </w:tr>
    </w:tbl>
    <w:p w:rsidR="009F1FFF" w:rsidRPr="009F1FFF" w:rsidRDefault="009F1FFF" w:rsidP="009F1FFF">
      <w:pPr>
        <w:pStyle w:val="GvdeMetniGirintisi"/>
        <w:spacing w:after="0"/>
        <w:ind w:left="0"/>
        <w:rPr>
          <w:sz w:val="20"/>
          <w:lang w:val="en-US"/>
        </w:rPr>
      </w:pPr>
      <w:r w:rsidRPr="009F1FFF">
        <w:rPr>
          <w:sz w:val="20"/>
          <w:lang w:val="en-US"/>
        </w:rPr>
        <w:t>*,** and ***, show 10%, 5% and 1% level of significances, respectively.</w:t>
      </w:r>
    </w:p>
    <w:p w:rsidR="009F1FFF" w:rsidRPr="009F1FFF" w:rsidRDefault="009F1FFF" w:rsidP="009F1FFF">
      <w:pPr>
        <w:autoSpaceDE w:val="0"/>
        <w:autoSpaceDN w:val="0"/>
        <w:adjustRightInd w:val="0"/>
        <w:ind w:firstLine="708"/>
        <w:jc w:val="both"/>
        <w:rPr>
          <w:sz w:val="20"/>
          <w:lang w:val="en-US"/>
        </w:rPr>
      </w:pPr>
    </w:p>
    <w:p w:rsidR="001F1CE5" w:rsidRDefault="001F1CE5" w:rsidP="009F1FFF">
      <w:pPr>
        <w:autoSpaceDE w:val="0"/>
        <w:autoSpaceDN w:val="0"/>
        <w:adjustRightInd w:val="0"/>
        <w:jc w:val="both"/>
        <w:rPr>
          <w:lang w:val="en-US"/>
        </w:rPr>
      </w:pPr>
    </w:p>
    <w:p w:rsidR="009F1FFF" w:rsidRPr="009F1FFF" w:rsidRDefault="009F1FFF" w:rsidP="009F1FFF">
      <w:pPr>
        <w:autoSpaceDE w:val="0"/>
        <w:autoSpaceDN w:val="0"/>
        <w:adjustRightInd w:val="0"/>
        <w:jc w:val="both"/>
        <w:rPr>
          <w:lang w:val="en-US"/>
        </w:rPr>
      </w:pPr>
      <w:r w:rsidRPr="009F1FFF">
        <w:rPr>
          <w:lang w:val="en-US"/>
        </w:rPr>
        <w:t>In Table 5 “</w:t>
      </w:r>
      <w:r w:rsidRPr="009F1FFF">
        <w:rPr>
          <w:rFonts w:eastAsia="SymbolMT"/>
          <w:lang w:val="en-US"/>
        </w:rPr>
        <w:t xml:space="preserve">Δ” shows first differences of variables and values in </w:t>
      </w:r>
      <w:r w:rsidR="001F1CE5" w:rsidRPr="009F1FFF">
        <w:rPr>
          <w:rFonts w:eastAsia="SymbolMT"/>
          <w:lang w:val="en-US"/>
        </w:rPr>
        <w:t>parenthesis show</w:t>
      </w:r>
      <w:r w:rsidRPr="009F1FFF">
        <w:rPr>
          <w:rFonts w:eastAsia="SymbolMT"/>
          <w:lang w:val="en-US"/>
        </w:rPr>
        <w:t xml:space="preserve"> p-value</w:t>
      </w:r>
      <w:r w:rsidRPr="009F1FFF">
        <w:rPr>
          <w:lang w:val="en-US"/>
        </w:rPr>
        <w:t xml:space="preserve">. </w:t>
      </w:r>
      <w:r w:rsidR="001F1CE5" w:rsidRPr="009F1FFF">
        <w:rPr>
          <w:lang w:val="en-US"/>
        </w:rPr>
        <w:t>Number of lags for variables was</w:t>
      </w:r>
      <w:r w:rsidRPr="009F1FFF">
        <w:rPr>
          <w:lang w:val="en-US"/>
        </w:rPr>
        <w:t xml:space="preserve"> chosen by the Schwartz Criterion. The Error Correction Model (ECM) shows the </w:t>
      </w:r>
      <w:r w:rsidR="001F1CE5" w:rsidRPr="009F1FFF">
        <w:rPr>
          <w:lang w:val="en-US"/>
        </w:rPr>
        <w:t>strength</w:t>
      </w:r>
      <w:r w:rsidRPr="009F1FFF">
        <w:rPr>
          <w:lang w:val="en-US"/>
        </w:rPr>
        <w:t xml:space="preserve"> of </w:t>
      </w:r>
      <w:r w:rsidR="001F1CE5" w:rsidRPr="009F1FFF">
        <w:rPr>
          <w:lang w:val="en-US"/>
        </w:rPr>
        <w:t>adjustment</w:t>
      </w:r>
      <w:r w:rsidRPr="009F1FFF">
        <w:rPr>
          <w:lang w:val="en-US"/>
        </w:rPr>
        <w:t xml:space="preserve"> toward equilibrium in the short-run. As shown in Table 5, the sources of causality are examined in three ways. All these tests show a significant causality between economic growth and electricity energy consumption inequality. The signs of coefficients of error correction terms of both variables are negative and t-value is statistically significant. Therefore, there is a strong two-way causality between variables in question.</w:t>
      </w:r>
    </w:p>
    <w:p w:rsidR="009F1FFF" w:rsidRPr="009F1FFF" w:rsidRDefault="009F1FFF" w:rsidP="009F1FFF">
      <w:pPr>
        <w:pStyle w:val="Altbilgi"/>
        <w:jc w:val="both"/>
        <w:rPr>
          <w:b/>
          <w:color w:val="000000"/>
          <w:lang w:val="en-US"/>
        </w:rPr>
      </w:pPr>
    </w:p>
    <w:p w:rsidR="009F1FFF" w:rsidRPr="009F1FFF" w:rsidRDefault="009F1FFF" w:rsidP="009F1FFF">
      <w:pPr>
        <w:autoSpaceDE w:val="0"/>
        <w:autoSpaceDN w:val="0"/>
        <w:adjustRightInd w:val="0"/>
        <w:jc w:val="both"/>
        <w:rPr>
          <w:lang w:val="en-US"/>
        </w:rPr>
      </w:pPr>
    </w:p>
    <w:p w:rsidR="009F1FFF" w:rsidRPr="009F1FFF" w:rsidRDefault="009F1FFF" w:rsidP="009F1FFF">
      <w:pPr>
        <w:autoSpaceDE w:val="0"/>
        <w:autoSpaceDN w:val="0"/>
        <w:adjustRightInd w:val="0"/>
        <w:rPr>
          <w:b/>
          <w:lang w:val="en-US"/>
        </w:rPr>
      </w:pPr>
      <w:r w:rsidRPr="009F1FFF">
        <w:rPr>
          <w:b/>
          <w:lang w:val="en-US"/>
        </w:rPr>
        <w:t>Conclusion</w:t>
      </w:r>
    </w:p>
    <w:p w:rsidR="009F1FFF" w:rsidRPr="009F1FFF" w:rsidRDefault="009F1FFF" w:rsidP="009F1FFF">
      <w:pPr>
        <w:autoSpaceDE w:val="0"/>
        <w:autoSpaceDN w:val="0"/>
        <w:adjustRightInd w:val="0"/>
        <w:rPr>
          <w:b/>
          <w:lang w:val="en-US"/>
        </w:rPr>
      </w:pPr>
    </w:p>
    <w:p w:rsidR="009F1FFF" w:rsidRDefault="009F1FFF" w:rsidP="009F1FFF">
      <w:pPr>
        <w:autoSpaceDE w:val="0"/>
        <w:autoSpaceDN w:val="0"/>
        <w:adjustRightInd w:val="0"/>
        <w:jc w:val="both"/>
        <w:rPr>
          <w:lang w:val="en-US"/>
        </w:rPr>
      </w:pPr>
      <w:r w:rsidRPr="009F1FFF">
        <w:rPr>
          <w:lang w:val="en-US"/>
        </w:rPr>
        <w:t xml:space="preserve">In this study we attempt to provide some empirical evidence on the relationship between economic growth, primary and secondary energy consumption for Turkey for the period of 1975-2011. Our analysis shows that there is no causality growth and primary energy consumption but we found that there is a strong two-way causality between growth and electricity energy </w:t>
      </w:r>
      <w:r w:rsidR="001F1CE5" w:rsidRPr="009F1FFF">
        <w:rPr>
          <w:lang w:val="en-US"/>
        </w:rPr>
        <w:t>consumption</w:t>
      </w:r>
      <w:r w:rsidRPr="009F1FFF">
        <w:rPr>
          <w:lang w:val="en-US"/>
        </w:rPr>
        <w:t>.</w:t>
      </w:r>
    </w:p>
    <w:p w:rsidR="001F1CE5" w:rsidRPr="009F1FFF" w:rsidRDefault="001F1CE5" w:rsidP="009F1FFF">
      <w:pPr>
        <w:autoSpaceDE w:val="0"/>
        <w:autoSpaceDN w:val="0"/>
        <w:adjustRightInd w:val="0"/>
        <w:jc w:val="both"/>
        <w:rPr>
          <w:lang w:val="en-US"/>
        </w:rPr>
      </w:pPr>
    </w:p>
    <w:p w:rsidR="009F1FFF" w:rsidRPr="009F1FFF" w:rsidRDefault="009F1FFF" w:rsidP="009F1FFF">
      <w:pPr>
        <w:autoSpaceDE w:val="0"/>
        <w:autoSpaceDN w:val="0"/>
        <w:adjustRightInd w:val="0"/>
        <w:jc w:val="both"/>
        <w:rPr>
          <w:lang w:val="en-US"/>
        </w:rPr>
      </w:pPr>
      <w:r w:rsidRPr="009F1FFF">
        <w:rPr>
          <w:lang w:val="en-US"/>
        </w:rPr>
        <w:t xml:space="preserve">Consequently, in the progress of growth of Turkey need to the energy demand increasingly. Also, within the context of the energy supply security of Turkey should be make the legal and technical studies, thus Turkey have been intensified for the purpose of restructuring our energy market with a market understanding that is based on competition and transparent, detecting and using their domestic and renewable resources potential, integrating the nuclear energy into the electricity production, and utilizing the new energy technologies. </w:t>
      </w:r>
    </w:p>
    <w:p w:rsidR="005B7497" w:rsidRPr="009F1FFF" w:rsidRDefault="005B7497" w:rsidP="000C0831">
      <w:pPr>
        <w:jc w:val="both"/>
        <w:rPr>
          <w:noProof/>
          <w:lang w:val="en-US"/>
        </w:rPr>
      </w:pPr>
    </w:p>
    <w:p w:rsidR="005C4FF0" w:rsidRPr="009F1FFF" w:rsidRDefault="005C4FF0" w:rsidP="000C0831">
      <w:pPr>
        <w:rPr>
          <w:noProof/>
          <w:lang w:val="en-US"/>
        </w:rPr>
      </w:pPr>
    </w:p>
    <w:p w:rsidR="005C4FF0" w:rsidRPr="009F1FFF" w:rsidRDefault="005C4FF0" w:rsidP="000C0831">
      <w:pPr>
        <w:jc w:val="both"/>
        <w:rPr>
          <w:b/>
          <w:bCs/>
          <w:kern w:val="32"/>
          <w:lang w:val="en-US"/>
        </w:rPr>
      </w:pPr>
      <w:r w:rsidRPr="009F1FFF">
        <w:rPr>
          <w:b/>
          <w:bCs/>
          <w:kern w:val="32"/>
          <w:lang w:val="en-US"/>
        </w:rPr>
        <w:t xml:space="preserve">References </w:t>
      </w:r>
    </w:p>
    <w:p w:rsidR="005C4FF0" w:rsidRPr="009F1FFF" w:rsidRDefault="005C4FF0" w:rsidP="00AA63F6">
      <w:pPr>
        <w:ind w:left="851" w:hanging="851"/>
        <w:jc w:val="both"/>
        <w:rPr>
          <w:lang w:val="en-US"/>
        </w:rPr>
      </w:pPr>
    </w:p>
    <w:p w:rsidR="001F1CE5" w:rsidRPr="001F1CE5" w:rsidRDefault="001F1CE5" w:rsidP="001F1CE5">
      <w:pPr>
        <w:spacing w:after="120"/>
        <w:ind w:left="900" w:hanging="900"/>
        <w:jc w:val="both"/>
        <w:rPr>
          <w:lang w:val="en-US"/>
        </w:rPr>
      </w:pPr>
      <w:r>
        <w:rPr>
          <w:lang w:val="en-US"/>
        </w:rPr>
        <w:t>Aqeel A, Sabihuttin Butt, (2001).</w:t>
      </w:r>
      <w:r w:rsidRPr="001F1CE5">
        <w:rPr>
          <w:lang w:val="en-US"/>
        </w:rPr>
        <w:t xml:space="preserve"> The Relationship Between Energy Consumption and Economic Growth in Pakistan”, Asia-Pasific Development Journal, Vol. 8, No.2, 101-110.</w:t>
      </w:r>
    </w:p>
    <w:p w:rsidR="001F1CE5" w:rsidRPr="001F1CE5" w:rsidRDefault="001F1CE5" w:rsidP="001F1CE5">
      <w:pPr>
        <w:spacing w:after="120"/>
        <w:ind w:left="900" w:hanging="900"/>
        <w:jc w:val="both"/>
        <w:rPr>
          <w:lang w:val="en-US"/>
        </w:rPr>
      </w:pPr>
    </w:p>
    <w:p w:rsidR="001F1CE5" w:rsidRPr="001F1CE5" w:rsidRDefault="001F1CE5" w:rsidP="001F1CE5">
      <w:pPr>
        <w:spacing w:before="120" w:after="120"/>
        <w:ind w:left="900" w:hanging="900"/>
        <w:jc w:val="both"/>
        <w:rPr>
          <w:lang w:val="en-US"/>
        </w:rPr>
      </w:pPr>
      <w:r w:rsidRPr="001F1CE5">
        <w:rPr>
          <w:lang w:val="en-US"/>
        </w:rPr>
        <w:t>Akan, Y</w:t>
      </w:r>
      <w:r w:rsidRPr="001F1CE5">
        <w:rPr>
          <w:lang w:val="en-US"/>
        </w:rPr>
        <w:t>.,</w:t>
      </w:r>
      <w:r w:rsidRPr="001F1CE5">
        <w:rPr>
          <w:lang w:val="en-US"/>
        </w:rPr>
        <w:t xml:space="preserve"> Doğan, E. M. ve Işık, C. (2010)</w:t>
      </w:r>
      <w:r>
        <w:rPr>
          <w:lang w:val="en-US"/>
        </w:rPr>
        <w:t>.</w:t>
      </w:r>
      <w:r w:rsidRPr="001F1CE5">
        <w:rPr>
          <w:lang w:val="en-US"/>
        </w:rPr>
        <w:t xml:space="preserve"> “The Causality Relationship Between Energy Consumption and Economic Growth: The Case of Turkey”, Enerji, Piyasa ve Düzenleme, 1(1), 101-120.</w:t>
      </w:r>
    </w:p>
    <w:p w:rsidR="001F1CE5" w:rsidRPr="001F1CE5" w:rsidRDefault="001F1CE5" w:rsidP="001F1CE5">
      <w:pPr>
        <w:spacing w:before="120" w:after="120"/>
        <w:ind w:left="900" w:hanging="900"/>
        <w:jc w:val="both"/>
        <w:rPr>
          <w:lang w:val="en-US"/>
        </w:rPr>
      </w:pPr>
      <w:r w:rsidRPr="001F1CE5">
        <w:rPr>
          <w:lang w:val="en-US"/>
        </w:rPr>
        <w:lastRenderedPageBreak/>
        <w:t>Alptekin, V. ve Güvenek, B. (2010)</w:t>
      </w:r>
      <w:r>
        <w:rPr>
          <w:lang w:val="en-US"/>
        </w:rPr>
        <w:t>.</w:t>
      </w:r>
      <w:r w:rsidRPr="001F1CE5">
        <w:rPr>
          <w:lang w:val="en-US"/>
        </w:rPr>
        <w:t xml:space="preserve"> “Enerji Tüketimi ve Büyüme İlişkisi: OECD Ülkelerine İlişkin Bir Panel Veri Analizi”, Enerji, Piyasa ve Düzenleme, 1(2), 172-193.</w:t>
      </w:r>
    </w:p>
    <w:p w:rsidR="001F1CE5" w:rsidRPr="001F1CE5" w:rsidRDefault="001F1CE5" w:rsidP="001F1CE5">
      <w:pPr>
        <w:spacing w:before="120" w:after="120"/>
        <w:ind w:left="900" w:hanging="900"/>
        <w:jc w:val="both"/>
        <w:rPr>
          <w:lang w:val="en-US"/>
        </w:rPr>
      </w:pPr>
    </w:p>
    <w:p w:rsidR="001F1CE5" w:rsidRPr="001F1CE5" w:rsidRDefault="001F1CE5" w:rsidP="001F1CE5">
      <w:pPr>
        <w:spacing w:before="120" w:after="120"/>
        <w:ind w:left="900" w:hanging="900"/>
        <w:jc w:val="both"/>
        <w:rPr>
          <w:lang w:val="en-US"/>
        </w:rPr>
      </w:pPr>
      <w:r>
        <w:rPr>
          <w:lang w:val="en-US"/>
        </w:rPr>
        <w:t>Dış İşleri Bakanlığı, (2013).</w:t>
      </w:r>
      <w:r w:rsidRPr="001F1CE5">
        <w:rPr>
          <w:lang w:val="en-US"/>
        </w:rPr>
        <w:t xml:space="preserve"> Turkey’s Energy Strategy, </w:t>
      </w:r>
      <w:hyperlink r:id="rId62" w:history="1">
        <w:r w:rsidRPr="001F1CE5">
          <w:rPr>
            <w:rStyle w:val="Kpr"/>
            <w:lang w:val="en-US"/>
          </w:rPr>
          <w:t>http://www.mfa.gov.tr/turkeys-energy-strategy.en.mfa</w:t>
        </w:r>
      </w:hyperlink>
      <w:r w:rsidRPr="001F1CE5">
        <w:rPr>
          <w:lang w:val="en-US"/>
        </w:rPr>
        <w:t xml:space="preserve"> (23.04.2013)</w:t>
      </w:r>
    </w:p>
    <w:p w:rsidR="001F1CE5" w:rsidRPr="001F1CE5" w:rsidRDefault="001F1CE5" w:rsidP="001F1CE5">
      <w:pPr>
        <w:spacing w:before="120" w:after="120"/>
        <w:ind w:left="900" w:hanging="900"/>
        <w:jc w:val="both"/>
        <w:rPr>
          <w:lang w:val="en-US"/>
        </w:rPr>
      </w:pPr>
    </w:p>
    <w:p w:rsidR="001F1CE5" w:rsidRPr="001F1CE5" w:rsidRDefault="001F1CE5" w:rsidP="001F1CE5">
      <w:pPr>
        <w:pStyle w:val="Default"/>
        <w:ind w:left="720" w:hanging="720"/>
        <w:jc w:val="both"/>
        <w:rPr>
          <w:lang w:val="en-US"/>
        </w:rPr>
      </w:pPr>
      <w:r w:rsidRPr="001F1CE5">
        <w:rPr>
          <w:lang w:val="en-US"/>
        </w:rPr>
        <w:t xml:space="preserve">Enerji ve Tabi Kaynaklar Bakanlığı, </w:t>
      </w:r>
      <w:r w:rsidRPr="001F1CE5">
        <w:rPr>
          <w:bCs/>
          <w:lang w:val="en-US"/>
        </w:rPr>
        <w:t xml:space="preserve">Energy and Natural Resources </w:t>
      </w:r>
      <w:r w:rsidRPr="001F1CE5">
        <w:rPr>
          <w:lang w:val="en-US"/>
        </w:rPr>
        <w:t>Strategıc Plan (2010-2014).</w:t>
      </w:r>
    </w:p>
    <w:p w:rsidR="001F1CE5" w:rsidRPr="001F1CE5" w:rsidRDefault="001F1CE5" w:rsidP="001F1CE5">
      <w:pPr>
        <w:pStyle w:val="Default"/>
        <w:ind w:left="720" w:hanging="720"/>
        <w:jc w:val="both"/>
        <w:rPr>
          <w:lang w:val="en-US"/>
        </w:rPr>
      </w:pPr>
    </w:p>
    <w:p w:rsidR="001F1CE5" w:rsidRPr="001F1CE5" w:rsidRDefault="001F1CE5" w:rsidP="001F1CE5">
      <w:pPr>
        <w:spacing w:before="120" w:after="120"/>
        <w:ind w:left="900" w:hanging="900"/>
        <w:jc w:val="both"/>
        <w:rPr>
          <w:lang w:val="en-US"/>
        </w:rPr>
      </w:pPr>
      <w:r w:rsidRPr="001F1CE5">
        <w:rPr>
          <w:lang w:val="en-US"/>
        </w:rPr>
        <w:t xml:space="preserve">EUROSTAT, </w:t>
      </w:r>
      <w:r>
        <w:rPr>
          <w:lang w:val="en-US"/>
        </w:rPr>
        <w:t>(2013).</w:t>
      </w:r>
      <w:r w:rsidRPr="001F1CE5">
        <w:rPr>
          <w:lang w:val="en-US"/>
        </w:rPr>
        <w:t xml:space="preserve"> Energy Production and Imports, </w:t>
      </w:r>
      <w:hyperlink w:history="1">
        <w:r w:rsidRPr="00DF13F2">
          <w:rPr>
            <w:rStyle w:val="Kpr"/>
            <w:lang w:val="en-US"/>
          </w:rPr>
          <w:t>http://epp.eurostat.ec.europ a.eu/statistic (20</w:t>
        </w:r>
      </w:hyperlink>
      <w:r w:rsidRPr="001F1CE5">
        <w:rPr>
          <w:lang w:val="en-US"/>
        </w:rPr>
        <w:t xml:space="preserve"> April 2013).</w:t>
      </w:r>
    </w:p>
    <w:p w:rsidR="001F1CE5" w:rsidRPr="001F1CE5" w:rsidRDefault="001F1CE5" w:rsidP="001F1CE5">
      <w:pPr>
        <w:spacing w:before="120" w:after="120"/>
        <w:ind w:left="900" w:hanging="900"/>
        <w:jc w:val="both"/>
        <w:rPr>
          <w:lang w:val="en-US"/>
        </w:rPr>
      </w:pPr>
    </w:p>
    <w:p w:rsidR="001F1CE5" w:rsidRPr="001F1CE5" w:rsidRDefault="001F1CE5" w:rsidP="001F1CE5">
      <w:pPr>
        <w:spacing w:before="120" w:after="120"/>
        <w:ind w:left="900" w:hanging="900"/>
        <w:jc w:val="both"/>
        <w:rPr>
          <w:lang w:val="en-US"/>
        </w:rPr>
      </w:pPr>
      <w:r w:rsidRPr="001F1CE5">
        <w:rPr>
          <w:lang w:val="en-US"/>
        </w:rPr>
        <w:t xml:space="preserve">GASPROM, </w:t>
      </w:r>
      <w:r>
        <w:rPr>
          <w:lang w:val="en-US"/>
        </w:rPr>
        <w:t>(2013).</w:t>
      </w:r>
      <w:r w:rsidRPr="001F1CE5">
        <w:rPr>
          <w:lang w:val="en-US"/>
        </w:rPr>
        <w:t xml:space="preserve"> Blue Stream, </w:t>
      </w:r>
      <w:hyperlink r:id="rId63" w:history="1">
        <w:r w:rsidRPr="001F1CE5">
          <w:rPr>
            <w:rStyle w:val="Kpr"/>
            <w:lang w:val="en-US"/>
          </w:rPr>
          <w:t>http://www.gazpromexport.ru/en/projects/1/</w:t>
        </w:r>
      </w:hyperlink>
      <w:r w:rsidRPr="001F1CE5">
        <w:rPr>
          <w:lang w:val="en-US"/>
        </w:rPr>
        <w:t>, (24April 2013).</w:t>
      </w:r>
    </w:p>
    <w:p w:rsidR="001F1CE5" w:rsidRPr="001F1CE5" w:rsidRDefault="001F1CE5" w:rsidP="001F1CE5">
      <w:pPr>
        <w:spacing w:before="120" w:after="120"/>
        <w:ind w:left="900" w:hanging="900"/>
        <w:jc w:val="both"/>
        <w:rPr>
          <w:lang w:val="en-US"/>
        </w:rPr>
      </w:pPr>
      <w:r>
        <w:rPr>
          <w:lang w:val="en-US"/>
        </w:rPr>
        <w:t xml:space="preserve"> </w:t>
      </w:r>
    </w:p>
    <w:p w:rsidR="001F1CE5" w:rsidRPr="001F1CE5" w:rsidRDefault="001F1CE5" w:rsidP="001F1CE5">
      <w:pPr>
        <w:spacing w:before="120" w:after="120"/>
        <w:ind w:left="720" w:hanging="720"/>
        <w:jc w:val="both"/>
        <w:rPr>
          <w:lang w:val="en-US"/>
        </w:rPr>
      </w:pPr>
      <w:r w:rsidRPr="001F1CE5">
        <w:rPr>
          <w:lang w:val="en-US"/>
        </w:rPr>
        <w:t>Kerimoğlu, G. ve Yanar, R. (2011)</w:t>
      </w:r>
      <w:r>
        <w:rPr>
          <w:lang w:val="en-US"/>
        </w:rPr>
        <w:t>.</w:t>
      </w:r>
      <w:r w:rsidRPr="001F1CE5">
        <w:rPr>
          <w:lang w:val="en-US"/>
        </w:rPr>
        <w:t xml:space="preserve"> “Türkiye’de Enerji Tüketimi, Ekonomik Büyüme ve Cari Açık İlişkisi” Ekonomi Bilimleri Dergisi, 3(2), 191-201.</w:t>
      </w:r>
    </w:p>
    <w:p w:rsidR="001F1CE5" w:rsidRPr="001F1CE5" w:rsidRDefault="001F1CE5" w:rsidP="001F1CE5">
      <w:pPr>
        <w:spacing w:before="120" w:after="120"/>
        <w:ind w:left="720" w:hanging="720"/>
        <w:jc w:val="both"/>
        <w:rPr>
          <w:lang w:val="en-US"/>
        </w:rPr>
      </w:pPr>
    </w:p>
    <w:p w:rsidR="001F1CE5" w:rsidRPr="001F1CE5" w:rsidRDefault="001F1CE5" w:rsidP="001F1CE5">
      <w:pPr>
        <w:spacing w:after="120"/>
        <w:ind w:left="900" w:hanging="900"/>
        <w:jc w:val="both"/>
        <w:rPr>
          <w:lang w:val="en-US"/>
        </w:rPr>
      </w:pPr>
      <w:r>
        <w:rPr>
          <w:lang w:val="en-US"/>
        </w:rPr>
        <w:t>Kraft, J. And A. Kraft  (1978).</w:t>
      </w:r>
      <w:r w:rsidRPr="001F1CE5">
        <w:rPr>
          <w:lang w:val="en-US"/>
        </w:rPr>
        <w:t xml:space="preserve"> “On the Relationship between Energy and GNP”, Journal of Energy and Development, 3, pp. 401-403.  </w:t>
      </w:r>
    </w:p>
    <w:p w:rsidR="001F1CE5" w:rsidRPr="001F1CE5" w:rsidRDefault="001F1CE5" w:rsidP="001F1CE5">
      <w:pPr>
        <w:spacing w:after="120"/>
        <w:ind w:left="900" w:hanging="900"/>
        <w:jc w:val="both"/>
        <w:rPr>
          <w:lang w:val="en-US"/>
        </w:rPr>
      </w:pPr>
    </w:p>
    <w:p w:rsidR="001F1CE5" w:rsidRPr="001F1CE5" w:rsidRDefault="001F1CE5" w:rsidP="001F1CE5">
      <w:pPr>
        <w:spacing w:before="120" w:after="120"/>
        <w:ind w:left="540" w:hanging="540"/>
        <w:jc w:val="both"/>
        <w:rPr>
          <w:lang w:val="en-US"/>
        </w:rPr>
      </w:pPr>
      <w:r w:rsidRPr="001F1CE5">
        <w:rPr>
          <w:lang w:val="en-US"/>
        </w:rPr>
        <w:t>Mucuk, M. ve Uysal, D. (2009)</w:t>
      </w:r>
      <w:r>
        <w:rPr>
          <w:lang w:val="en-US"/>
        </w:rPr>
        <w:t>.</w:t>
      </w:r>
      <w:r w:rsidRPr="001F1CE5">
        <w:rPr>
          <w:lang w:val="en-US"/>
        </w:rPr>
        <w:t xml:space="preserve"> “Türkiye Ekonomisinde Enerji Tüketimi ve Ekonomik Büyüme”, Maliye Dergisi  (157), 105-115.</w:t>
      </w:r>
    </w:p>
    <w:p w:rsidR="001F1CE5" w:rsidRPr="001F1CE5" w:rsidRDefault="001F1CE5" w:rsidP="001F1CE5">
      <w:pPr>
        <w:spacing w:before="120" w:after="120"/>
        <w:ind w:left="540" w:hanging="540"/>
        <w:jc w:val="both"/>
        <w:rPr>
          <w:lang w:val="en-US"/>
        </w:rPr>
      </w:pPr>
    </w:p>
    <w:p w:rsidR="001F1CE5" w:rsidRPr="001F1CE5" w:rsidRDefault="001F1CE5" w:rsidP="001F1CE5">
      <w:pPr>
        <w:spacing w:before="120" w:after="120"/>
        <w:ind w:left="540" w:hanging="540"/>
        <w:jc w:val="both"/>
        <w:rPr>
          <w:lang w:val="en-US"/>
        </w:rPr>
      </w:pPr>
      <w:r>
        <w:rPr>
          <w:lang w:val="en-US"/>
        </w:rPr>
        <w:t>Örnek, İ., and A.Y. Elveren</w:t>
      </w:r>
      <w:r w:rsidRPr="001F1CE5">
        <w:rPr>
          <w:lang w:val="en-US"/>
        </w:rPr>
        <w:t xml:space="preserve"> </w:t>
      </w:r>
      <w:r>
        <w:rPr>
          <w:lang w:val="en-US"/>
        </w:rPr>
        <w:t>(</w:t>
      </w:r>
      <w:r w:rsidRPr="001F1CE5">
        <w:rPr>
          <w:lang w:val="en-US"/>
        </w:rPr>
        <w:t>2010</w:t>
      </w:r>
      <w:r>
        <w:rPr>
          <w:lang w:val="en-US"/>
        </w:rPr>
        <w:t>)</w:t>
      </w:r>
      <w:r w:rsidRPr="001F1CE5">
        <w:rPr>
          <w:lang w:val="en-US"/>
        </w:rPr>
        <w:t xml:space="preserve">. “Trade liberalization and </w:t>
      </w:r>
      <w:r w:rsidRPr="001F1CE5">
        <w:rPr>
          <w:lang w:val="en-US"/>
        </w:rPr>
        <w:t xml:space="preserve">income inequality in Turkey: An </w:t>
      </w:r>
      <w:r w:rsidRPr="001F1CE5">
        <w:rPr>
          <w:lang w:val="en-US"/>
        </w:rPr>
        <w:t>Empirical –Analysis” ´Çukurova Üniversitesi Sosyal Bilimler Dergisi,</w:t>
      </w:r>
      <w:r w:rsidRPr="001F1CE5">
        <w:rPr>
          <w:lang w:val="en-US"/>
        </w:rPr>
        <w:t xml:space="preserve"> 19, no. 2: 62–70.</w:t>
      </w:r>
    </w:p>
    <w:p w:rsidR="001F1CE5" w:rsidRPr="001F1CE5" w:rsidRDefault="001F1CE5" w:rsidP="001F1CE5">
      <w:pPr>
        <w:spacing w:before="120" w:after="120"/>
        <w:ind w:left="540" w:hanging="540"/>
        <w:jc w:val="both"/>
        <w:rPr>
          <w:lang w:val="en-US"/>
        </w:rPr>
      </w:pPr>
    </w:p>
    <w:p w:rsidR="001F1CE5" w:rsidRPr="001F1CE5" w:rsidRDefault="001F1CE5" w:rsidP="001F1CE5">
      <w:pPr>
        <w:spacing w:before="120" w:after="120"/>
        <w:ind w:left="540" w:hanging="540"/>
        <w:jc w:val="both"/>
        <w:rPr>
          <w:lang w:val="en-US"/>
        </w:rPr>
      </w:pPr>
      <w:r w:rsidRPr="001F1CE5">
        <w:rPr>
          <w:lang w:val="en-US"/>
        </w:rPr>
        <w:t xml:space="preserve">Turkish Petroleum  Corporation (TP), </w:t>
      </w:r>
      <w:r>
        <w:rPr>
          <w:lang w:val="en-US"/>
        </w:rPr>
        <w:t>(2011).</w:t>
      </w:r>
      <w:r w:rsidRPr="001F1CE5">
        <w:rPr>
          <w:lang w:val="en-US"/>
        </w:rPr>
        <w:t xml:space="preserve"> Oil and Natural Gas Sector Report.</w:t>
      </w:r>
      <w:r w:rsidRPr="001F1CE5">
        <w:rPr>
          <w:lang w:val="en-US"/>
        </w:rPr>
        <w:t xml:space="preserve"> </w:t>
      </w:r>
    </w:p>
    <w:p w:rsidR="001F1CE5" w:rsidRPr="001F1CE5" w:rsidRDefault="001F1CE5" w:rsidP="001F1CE5">
      <w:pPr>
        <w:spacing w:before="120" w:after="120"/>
        <w:ind w:left="540" w:hanging="540"/>
        <w:jc w:val="both"/>
        <w:rPr>
          <w:lang w:val="en-US"/>
        </w:rPr>
      </w:pPr>
    </w:p>
    <w:p w:rsidR="001F1CE5" w:rsidRPr="001F1CE5" w:rsidRDefault="001F1CE5" w:rsidP="001F1CE5">
      <w:pPr>
        <w:spacing w:before="120" w:after="120"/>
        <w:ind w:left="540" w:hanging="540"/>
        <w:jc w:val="both"/>
        <w:rPr>
          <w:lang w:val="en-US"/>
        </w:rPr>
      </w:pPr>
      <w:r w:rsidRPr="001F1CE5">
        <w:rPr>
          <w:lang w:val="en-US"/>
        </w:rPr>
        <w:t>Yapraklı, S. ve Yurttançıkmaz Z. Ç. (2012)</w:t>
      </w:r>
      <w:r>
        <w:rPr>
          <w:lang w:val="en-US"/>
        </w:rPr>
        <w:t>.</w:t>
      </w:r>
      <w:r w:rsidRPr="001F1CE5">
        <w:rPr>
          <w:lang w:val="en-US"/>
        </w:rPr>
        <w:t xml:space="preserve"> “Elektrik Tüketimi İle Ekonomik Büyüme Arasındaki Nedensellik: Türkiye Üzerine Ekonometrik Bir Analiz” C.Ü. İktisadi ve İdari Bilimler Dergisi, 13(2), 195-215.</w:t>
      </w:r>
    </w:p>
    <w:p w:rsidR="005C4FF0" w:rsidRPr="009F1FFF" w:rsidRDefault="005C4FF0" w:rsidP="001F1CE5">
      <w:pPr>
        <w:autoSpaceDE w:val="0"/>
        <w:autoSpaceDN w:val="0"/>
        <w:adjustRightInd w:val="0"/>
        <w:ind w:left="851" w:hanging="851"/>
        <w:jc w:val="both"/>
        <w:rPr>
          <w:noProof/>
          <w:lang w:val="en-US"/>
        </w:rPr>
      </w:pPr>
    </w:p>
    <w:sectPr w:rsidR="005C4FF0" w:rsidRPr="009F1FFF" w:rsidSect="00AA63F6">
      <w:headerReference w:type="default" r:id="rId64"/>
      <w:footerReference w:type="default" r:id="rId65"/>
      <w:pgSz w:w="11906" w:h="16838"/>
      <w:pgMar w:top="1418" w:right="1418" w:bottom="1418" w:left="1701"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D25" w:rsidRDefault="00073D25" w:rsidP="00446838">
      <w:r>
        <w:separator/>
      </w:r>
    </w:p>
  </w:endnote>
  <w:endnote w:type="continuationSeparator" w:id="0">
    <w:p w:rsidR="00073D25" w:rsidRDefault="00073D25" w:rsidP="00446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Symbol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9172370"/>
      <w:docPartObj>
        <w:docPartGallery w:val="Page Numbers (Bottom of Page)"/>
        <w:docPartUnique/>
      </w:docPartObj>
    </w:sdtPr>
    <w:sdtEndPr>
      <w:rPr>
        <w:noProof/>
      </w:rPr>
    </w:sdtEndPr>
    <w:sdtContent>
      <w:p w:rsidR="00AA63F6" w:rsidRDefault="001F1CE5">
        <w:pPr>
          <w:pStyle w:val="Altbilgi"/>
          <w:jc w:val="center"/>
        </w:pPr>
        <w:r>
          <w:rPr>
            <w:noProof/>
          </w:rPr>
          <mc:AlternateContent>
            <mc:Choice Requires="wps">
              <w:drawing>
                <wp:inline distT="0" distB="0" distL="0" distR="0">
                  <wp:extent cx="5467350" cy="45085"/>
                  <wp:effectExtent l="5715" t="8890" r="3810" b="3175"/>
                  <wp:docPr id="8" name="AutoShape 1" descr="Description: 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1" o:spid="_x0000_s1026" type="#_x0000_t110" alt="Description: 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" fillcolor="black" stroked="f">
                  <v:fill r:id="rId1" o:title="" type="pattern"/>
                  <w10:anchorlock/>
                </v:shape>
              </w:pict>
            </mc:Fallback>
          </mc:AlternateContent>
        </w:r>
      </w:p>
      <w:p w:rsidR="00AA63F6" w:rsidRDefault="00AA63F6">
        <w:pPr>
          <w:pStyle w:val="Altbilgi"/>
          <w:jc w:val="center"/>
        </w:pPr>
        <w:r>
          <w:fldChar w:fldCharType="begin"/>
        </w:r>
        <w:r>
          <w:instrText xml:space="preserve"> PAGE    \* MERGEFORMAT </w:instrText>
        </w:r>
        <w:r>
          <w:fldChar w:fldCharType="separate"/>
        </w:r>
        <w:r w:rsidR="001F1CE5">
          <w:rPr>
            <w:noProof/>
          </w:rPr>
          <w:t>1</w:t>
        </w:r>
        <w:r>
          <w:rPr>
            <w:noProof/>
          </w:rPr>
          <w:fldChar w:fldCharType="end"/>
        </w:r>
      </w:p>
    </w:sdtContent>
  </w:sdt>
  <w:p w:rsidR="00AA63F6" w:rsidRDefault="00AA63F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D25" w:rsidRDefault="00073D25" w:rsidP="00446838">
      <w:r>
        <w:separator/>
      </w:r>
    </w:p>
  </w:footnote>
  <w:footnote w:type="continuationSeparator" w:id="0">
    <w:p w:rsidR="00073D25" w:rsidRDefault="00073D25" w:rsidP="004468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A90" w:rsidRPr="00EE1A90" w:rsidRDefault="00EE1A90" w:rsidP="00EE1A90">
    <w:pPr>
      <w:jc w:val="center"/>
      <w:rPr>
        <w:i/>
        <w:sz w:val="18"/>
        <w:szCs w:val="18"/>
      </w:rPr>
    </w:pPr>
    <w:r w:rsidRPr="00EE1A90">
      <w:rPr>
        <w:i/>
        <w:sz w:val="18"/>
        <w:szCs w:val="18"/>
      </w:rPr>
      <w:t>International Conference on Economic and Social Studies</w:t>
    </w:r>
    <w:r>
      <w:rPr>
        <w:i/>
        <w:sz w:val="18"/>
        <w:szCs w:val="18"/>
      </w:rPr>
      <w:t xml:space="preserve"> (ICESoS’13)</w:t>
    </w:r>
    <w:r w:rsidRPr="00EE1A90">
      <w:rPr>
        <w:i/>
        <w:sz w:val="18"/>
        <w:szCs w:val="18"/>
      </w:rPr>
      <w:t>, 10-11 May, 2013,  Sarajevo</w:t>
    </w:r>
  </w:p>
  <w:p w:rsidR="00446838" w:rsidRPr="00EE1A90" w:rsidRDefault="00446838" w:rsidP="00EE1A9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77354E"/>
    <w:multiLevelType w:val="hybridMultilevel"/>
    <w:tmpl w:val="2214C0B4"/>
    <w:lvl w:ilvl="0" w:tplc="53DC960E">
      <w:start w:val="27"/>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B9A"/>
    <w:rsid w:val="00000DC5"/>
    <w:rsid w:val="00001476"/>
    <w:rsid w:val="000159DD"/>
    <w:rsid w:val="000235E2"/>
    <w:rsid w:val="000606AE"/>
    <w:rsid w:val="00073D25"/>
    <w:rsid w:val="00091D80"/>
    <w:rsid w:val="000B1ECC"/>
    <w:rsid w:val="000C0831"/>
    <w:rsid w:val="00127DF5"/>
    <w:rsid w:val="00151E21"/>
    <w:rsid w:val="001851CC"/>
    <w:rsid w:val="001915FC"/>
    <w:rsid w:val="001C55BF"/>
    <w:rsid w:val="001C6116"/>
    <w:rsid w:val="001D3EBF"/>
    <w:rsid w:val="001F1CE5"/>
    <w:rsid w:val="002223A1"/>
    <w:rsid w:val="00244BCD"/>
    <w:rsid w:val="00250EED"/>
    <w:rsid w:val="0027743E"/>
    <w:rsid w:val="00285B9A"/>
    <w:rsid w:val="0029368D"/>
    <w:rsid w:val="002B09F9"/>
    <w:rsid w:val="00323F62"/>
    <w:rsid w:val="0037128C"/>
    <w:rsid w:val="003813E7"/>
    <w:rsid w:val="003B7B3D"/>
    <w:rsid w:val="003F0735"/>
    <w:rsid w:val="00446838"/>
    <w:rsid w:val="004654E9"/>
    <w:rsid w:val="004930FD"/>
    <w:rsid w:val="00496CAE"/>
    <w:rsid w:val="004E46FC"/>
    <w:rsid w:val="004F6D75"/>
    <w:rsid w:val="00512C5B"/>
    <w:rsid w:val="00521068"/>
    <w:rsid w:val="00524012"/>
    <w:rsid w:val="00564CCF"/>
    <w:rsid w:val="005B4943"/>
    <w:rsid w:val="005B5BAD"/>
    <w:rsid w:val="005B7497"/>
    <w:rsid w:val="005C4FF0"/>
    <w:rsid w:val="005D624F"/>
    <w:rsid w:val="00615A8D"/>
    <w:rsid w:val="006302CA"/>
    <w:rsid w:val="00653B0B"/>
    <w:rsid w:val="00661C07"/>
    <w:rsid w:val="006D47C2"/>
    <w:rsid w:val="00714CC0"/>
    <w:rsid w:val="00754B28"/>
    <w:rsid w:val="00761431"/>
    <w:rsid w:val="00770868"/>
    <w:rsid w:val="007A17F2"/>
    <w:rsid w:val="007C0306"/>
    <w:rsid w:val="007F1CFB"/>
    <w:rsid w:val="00823ECE"/>
    <w:rsid w:val="008323B1"/>
    <w:rsid w:val="008370A4"/>
    <w:rsid w:val="008410DE"/>
    <w:rsid w:val="00857F04"/>
    <w:rsid w:val="00865400"/>
    <w:rsid w:val="008B3CB6"/>
    <w:rsid w:val="009626A0"/>
    <w:rsid w:val="0097206F"/>
    <w:rsid w:val="009B3FBB"/>
    <w:rsid w:val="009C5E7F"/>
    <w:rsid w:val="009E4686"/>
    <w:rsid w:val="009F1FFF"/>
    <w:rsid w:val="00A23705"/>
    <w:rsid w:val="00A36048"/>
    <w:rsid w:val="00A55E44"/>
    <w:rsid w:val="00A66506"/>
    <w:rsid w:val="00AA63F6"/>
    <w:rsid w:val="00AC1105"/>
    <w:rsid w:val="00AC42E5"/>
    <w:rsid w:val="00AE6287"/>
    <w:rsid w:val="00AF5B08"/>
    <w:rsid w:val="00B0526D"/>
    <w:rsid w:val="00B34A11"/>
    <w:rsid w:val="00B367F1"/>
    <w:rsid w:val="00B47638"/>
    <w:rsid w:val="00B619E2"/>
    <w:rsid w:val="00B76643"/>
    <w:rsid w:val="00B86DE2"/>
    <w:rsid w:val="00B93226"/>
    <w:rsid w:val="00B976C6"/>
    <w:rsid w:val="00BA3159"/>
    <w:rsid w:val="00BB158E"/>
    <w:rsid w:val="00BD438A"/>
    <w:rsid w:val="00BF7294"/>
    <w:rsid w:val="00C120F8"/>
    <w:rsid w:val="00C32C7A"/>
    <w:rsid w:val="00C862AC"/>
    <w:rsid w:val="00C95AFD"/>
    <w:rsid w:val="00CF6CB5"/>
    <w:rsid w:val="00D75E58"/>
    <w:rsid w:val="00D76E5E"/>
    <w:rsid w:val="00DA014E"/>
    <w:rsid w:val="00DC0765"/>
    <w:rsid w:val="00DC4BDD"/>
    <w:rsid w:val="00E13C86"/>
    <w:rsid w:val="00E368BA"/>
    <w:rsid w:val="00E53C78"/>
    <w:rsid w:val="00E916D0"/>
    <w:rsid w:val="00E941B4"/>
    <w:rsid w:val="00EE1A90"/>
    <w:rsid w:val="00F07A71"/>
    <w:rsid w:val="00F14C0C"/>
    <w:rsid w:val="00F269BA"/>
    <w:rsid w:val="00F32252"/>
    <w:rsid w:val="00F64B56"/>
    <w:rsid w:val="00F7017E"/>
    <w:rsid w:val="00F95B9F"/>
    <w:rsid w:val="00FA66E2"/>
    <w:rsid w:val="00FD42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B9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BA315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Kpr">
    <w:name w:val="Hyperlink"/>
    <w:basedOn w:val="VarsaylanParagrafYazTipi"/>
    <w:uiPriority w:val="99"/>
    <w:unhideWhenUsed/>
    <w:rsid w:val="005C4FF0"/>
    <w:rPr>
      <w:color w:val="0000FF" w:themeColor="hyperlink"/>
      <w:u w:val="single"/>
    </w:rPr>
  </w:style>
  <w:style w:type="character" w:customStyle="1" w:styleId="hps">
    <w:name w:val="hps"/>
    <w:basedOn w:val="VarsaylanParagrafYazTipi"/>
    <w:rsid w:val="00091D80"/>
  </w:style>
  <w:style w:type="paragraph" w:styleId="ListeParagraf">
    <w:name w:val="List Paragraph"/>
    <w:basedOn w:val="Normal"/>
    <w:uiPriority w:val="34"/>
    <w:qFormat/>
    <w:rsid w:val="00F14C0C"/>
    <w:pPr>
      <w:ind w:left="720"/>
      <w:contextualSpacing/>
    </w:pPr>
  </w:style>
  <w:style w:type="character" w:customStyle="1" w:styleId="InternetLink">
    <w:name w:val="Internet Link"/>
    <w:basedOn w:val="VarsaylanParagrafYazTipi"/>
    <w:rsid w:val="00DC0765"/>
    <w:rPr>
      <w:color w:val="0000FF"/>
      <w:u w:val="single"/>
      <w:lang w:val="en-US" w:eastAsia="en-US" w:bidi="en-US"/>
    </w:rPr>
  </w:style>
  <w:style w:type="paragraph" w:styleId="AralkYok">
    <w:name w:val="No Spacing"/>
    <w:uiPriority w:val="1"/>
    <w:qFormat/>
    <w:rsid w:val="00DC0765"/>
    <w:pPr>
      <w:suppressAutoHyphens/>
      <w:spacing w:after="0" w:line="100" w:lineRule="atLeast"/>
    </w:pPr>
    <w:rPr>
      <w:rFonts w:ascii="Calibri" w:eastAsia="Times New Roman" w:hAnsi="Calibri" w:cs="Times New Roman"/>
      <w:lang w:val="en-US" w:eastAsia="ar-SA"/>
    </w:rPr>
  </w:style>
  <w:style w:type="paragraph" w:styleId="KonuBal">
    <w:name w:val="Title"/>
    <w:basedOn w:val="Normal"/>
    <w:next w:val="Normal"/>
    <w:link w:val="KonuBalChar"/>
    <w:uiPriority w:val="10"/>
    <w:qFormat/>
    <w:rsid w:val="00DC0765"/>
    <w:pPr>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lang w:val="fr-CA" w:eastAsia="ar-SA"/>
    </w:rPr>
  </w:style>
  <w:style w:type="character" w:customStyle="1" w:styleId="KonuBalChar">
    <w:name w:val="Konu Başlığı Char"/>
    <w:basedOn w:val="VarsaylanParagrafYazTipi"/>
    <w:link w:val="KonuBal"/>
    <w:uiPriority w:val="10"/>
    <w:rsid w:val="00DC0765"/>
    <w:rPr>
      <w:rFonts w:asciiTheme="majorHAnsi" w:eastAsiaTheme="majorEastAsia" w:hAnsiTheme="majorHAnsi" w:cstheme="majorBidi"/>
      <w:color w:val="17365D" w:themeColor="text2" w:themeShade="BF"/>
      <w:spacing w:val="5"/>
      <w:kern w:val="28"/>
      <w:sz w:val="52"/>
      <w:szCs w:val="52"/>
      <w:lang w:val="fr-CA" w:eastAsia="ar-SA"/>
    </w:rPr>
  </w:style>
  <w:style w:type="paragraph" w:styleId="stbilgi">
    <w:name w:val="header"/>
    <w:basedOn w:val="Normal"/>
    <w:link w:val="stbilgiChar"/>
    <w:uiPriority w:val="99"/>
    <w:unhideWhenUsed/>
    <w:rsid w:val="00446838"/>
    <w:pPr>
      <w:tabs>
        <w:tab w:val="center" w:pos="4703"/>
        <w:tab w:val="right" w:pos="9406"/>
      </w:tabs>
    </w:pPr>
  </w:style>
  <w:style w:type="character" w:customStyle="1" w:styleId="stbilgiChar">
    <w:name w:val="Üstbilgi Char"/>
    <w:basedOn w:val="VarsaylanParagrafYazTipi"/>
    <w:link w:val="stbilgi"/>
    <w:uiPriority w:val="99"/>
    <w:rsid w:val="00446838"/>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446838"/>
    <w:pPr>
      <w:tabs>
        <w:tab w:val="center" w:pos="4703"/>
        <w:tab w:val="right" w:pos="9406"/>
      </w:tabs>
    </w:pPr>
  </w:style>
  <w:style w:type="character" w:customStyle="1" w:styleId="AltbilgiChar">
    <w:name w:val="Altbilgi Char"/>
    <w:basedOn w:val="VarsaylanParagrafYazTipi"/>
    <w:link w:val="Altbilgi"/>
    <w:uiPriority w:val="99"/>
    <w:rsid w:val="00446838"/>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446838"/>
    <w:rPr>
      <w:rFonts w:ascii="Tahoma" w:hAnsi="Tahoma" w:cs="Tahoma"/>
      <w:sz w:val="16"/>
      <w:szCs w:val="16"/>
    </w:rPr>
  </w:style>
  <w:style w:type="character" w:customStyle="1" w:styleId="BalonMetniChar">
    <w:name w:val="Balon Metni Char"/>
    <w:basedOn w:val="VarsaylanParagrafYazTipi"/>
    <w:link w:val="BalonMetni"/>
    <w:uiPriority w:val="99"/>
    <w:semiHidden/>
    <w:rsid w:val="00446838"/>
    <w:rPr>
      <w:rFonts w:ascii="Tahoma" w:eastAsia="Times New Roman" w:hAnsi="Tahoma" w:cs="Tahoma"/>
      <w:sz w:val="16"/>
      <w:szCs w:val="16"/>
      <w:lang w:eastAsia="tr-TR"/>
    </w:rPr>
  </w:style>
  <w:style w:type="paragraph" w:customStyle="1" w:styleId="DE7B8801F2B1483F98D539CC92927118">
    <w:name w:val="DE7B8801F2B1483F98D539CC92927118"/>
    <w:rsid w:val="00446838"/>
    <w:rPr>
      <w:rFonts w:eastAsiaTheme="minorEastAsia"/>
      <w:lang w:val="en-US" w:eastAsia="ja-JP"/>
    </w:rPr>
  </w:style>
  <w:style w:type="paragraph" w:styleId="GvdeMetni2">
    <w:name w:val="Body Text 2"/>
    <w:basedOn w:val="Normal"/>
    <w:link w:val="GvdeMetni2Char"/>
    <w:uiPriority w:val="99"/>
    <w:rsid w:val="00BF7294"/>
    <w:pPr>
      <w:spacing w:after="120" w:line="480" w:lineRule="auto"/>
    </w:pPr>
    <w:rPr>
      <w:lang w:val="en-US" w:eastAsia="en-US"/>
    </w:rPr>
  </w:style>
  <w:style w:type="character" w:customStyle="1" w:styleId="GvdeMetni2Char">
    <w:name w:val="Gövde Metni 2 Char"/>
    <w:basedOn w:val="VarsaylanParagrafYazTipi"/>
    <w:link w:val="GvdeMetni2"/>
    <w:uiPriority w:val="99"/>
    <w:rsid w:val="00BF7294"/>
    <w:rPr>
      <w:rFonts w:ascii="Times New Roman" w:eastAsia="Times New Roman" w:hAnsi="Times New Roman" w:cs="Times New Roman"/>
      <w:sz w:val="24"/>
      <w:szCs w:val="24"/>
      <w:lang w:val="en-US"/>
    </w:rPr>
  </w:style>
  <w:style w:type="paragraph" w:styleId="DipnotMetni">
    <w:name w:val="footnote text"/>
    <w:basedOn w:val="Normal"/>
    <w:link w:val="DipnotMetniChar"/>
    <w:semiHidden/>
    <w:rsid w:val="009F1FFF"/>
    <w:rPr>
      <w:sz w:val="20"/>
      <w:szCs w:val="20"/>
    </w:rPr>
  </w:style>
  <w:style w:type="character" w:customStyle="1" w:styleId="DipnotMetniChar">
    <w:name w:val="Dipnot Metni Char"/>
    <w:basedOn w:val="VarsaylanParagrafYazTipi"/>
    <w:link w:val="DipnotMetni"/>
    <w:semiHidden/>
    <w:rsid w:val="009F1FFF"/>
    <w:rPr>
      <w:rFonts w:ascii="Times New Roman" w:eastAsia="Times New Roman" w:hAnsi="Times New Roman" w:cs="Times New Roman"/>
      <w:sz w:val="20"/>
      <w:szCs w:val="20"/>
      <w:lang w:eastAsia="tr-TR"/>
    </w:rPr>
  </w:style>
  <w:style w:type="paragraph" w:styleId="GvdeMetniGirintisi">
    <w:name w:val="Body Text Indent"/>
    <w:basedOn w:val="Normal"/>
    <w:link w:val="GvdeMetniGirintisiChar"/>
    <w:uiPriority w:val="99"/>
    <w:semiHidden/>
    <w:unhideWhenUsed/>
    <w:rsid w:val="009F1FFF"/>
    <w:pPr>
      <w:spacing w:after="120"/>
      <w:ind w:left="360"/>
    </w:pPr>
  </w:style>
  <w:style w:type="character" w:customStyle="1" w:styleId="GvdeMetniGirintisiChar">
    <w:name w:val="Gövde Metni Girintisi Char"/>
    <w:basedOn w:val="VarsaylanParagrafYazTipi"/>
    <w:link w:val="GvdeMetniGirintisi"/>
    <w:uiPriority w:val="99"/>
    <w:semiHidden/>
    <w:rsid w:val="009F1FFF"/>
    <w:rPr>
      <w:rFonts w:ascii="Times New Roman" w:eastAsia="Times New Roman" w:hAnsi="Times New Roman" w:cs="Times New Roman"/>
      <w:sz w:val="24"/>
      <w:szCs w:val="24"/>
      <w:lang w:eastAsia="tr-TR"/>
    </w:rPr>
  </w:style>
  <w:style w:type="character" w:customStyle="1" w:styleId="hpsatn">
    <w:name w:val="hps atn"/>
    <w:basedOn w:val="VarsaylanParagrafYazTipi"/>
    <w:rsid w:val="009F1FFF"/>
  </w:style>
  <w:style w:type="character" w:styleId="Vurgu">
    <w:name w:val="Emphasis"/>
    <w:basedOn w:val="VarsaylanParagrafYazTipi"/>
    <w:qFormat/>
    <w:rsid w:val="009F1FFF"/>
    <w:rPr>
      <w:i/>
      <w:iCs/>
    </w:rPr>
  </w:style>
  <w:style w:type="character" w:styleId="Gl">
    <w:name w:val="Strong"/>
    <w:basedOn w:val="VarsaylanParagrafYazTipi"/>
    <w:qFormat/>
    <w:rsid w:val="009F1FFF"/>
    <w:rPr>
      <w:b/>
      <w:bCs/>
    </w:rPr>
  </w:style>
  <w:style w:type="paragraph" w:styleId="NormalWeb">
    <w:name w:val="Normal (Web)"/>
    <w:basedOn w:val="Normal"/>
    <w:rsid w:val="009F1FFF"/>
    <w:pPr>
      <w:spacing w:before="100" w:beforeAutospacing="1" w:after="100" w:afterAutospacing="1"/>
    </w:pPr>
  </w:style>
  <w:style w:type="table" w:styleId="AkGlgeleme">
    <w:name w:val="Light Shading"/>
    <w:basedOn w:val="NormalTablo"/>
    <w:uiPriority w:val="60"/>
    <w:rsid w:val="004654E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B9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BA315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Kpr">
    <w:name w:val="Hyperlink"/>
    <w:basedOn w:val="VarsaylanParagrafYazTipi"/>
    <w:uiPriority w:val="99"/>
    <w:unhideWhenUsed/>
    <w:rsid w:val="005C4FF0"/>
    <w:rPr>
      <w:color w:val="0000FF" w:themeColor="hyperlink"/>
      <w:u w:val="single"/>
    </w:rPr>
  </w:style>
  <w:style w:type="character" w:customStyle="1" w:styleId="hps">
    <w:name w:val="hps"/>
    <w:basedOn w:val="VarsaylanParagrafYazTipi"/>
    <w:rsid w:val="00091D80"/>
  </w:style>
  <w:style w:type="paragraph" w:styleId="ListeParagraf">
    <w:name w:val="List Paragraph"/>
    <w:basedOn w:val="Normal"/>
    <w:uiPriority w:val="34"/>
    <w:qFormat/>
    <w:rsid w:val="00F14C0C"/>
    <w:pPr>
      <w:ind w:left="720"/>
      <w:contextualSpacing/>
    </w:pPr>
  </w:style>
  <w:style w:type="character" w:customStyle="1" w:styleId="InternetLink">
    <w:name w:val="Internet Link"/>
    <w:basedOn w:val="VarsaylanParagrafYazTipi"/>
    <w:rsid w:val="00DC0765"/>
    <w:rPr>
      <w:color w:val="0000FF"/>
      <w:u w:val="single"/>
      <w:lang w:val="en-US" w:eastAsia="en-US" w:bidi="en-US"/>
    </w:rPr>
  </w:style>
  <w:style w:type="paragraph" w:styleId="AralkYok">
    <w:name w:val="No Spacing"/>
    <w:uiPriority w:val="1"/>
    <w:qFormat/>
    <w:rsid w:val="00DC0765"/>
    <w:pPr>
      <w:suppressAutoHyphens/>
      <w:spacing w:after="0" w:line="100" w:lineRule="atLeast"/>
    </w:pPr>
    <w:rPr>
      <w:rFonts w:ascii="Calibri" w:eastAsia="Times New Roman" w:hAnsi="Calibri" w:cs="Times New Roman"/>
      <w:lang w:val="en-US" w:eastAsia="ar-SA"/>
    </w:rPr>
  </w:style>
  <w:style w:type="paragraph" w:styleId="KonuBal">
    <w:name w:val="Title"/>
    <w:basedOn w:val="Normal"/>
    <w:next w:val="Normal"/>
    <w:link w:val="KonuBalChar"/>
    <w:uiPriority w:val="10"/>
    <w:qFormat/>
    <w:rsid w:val="00DC0765"/>
    <w:pPr>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lang w:val="fr-CA" w:eastAsia="ar-SA"/>
    </w:rPr>
  </w:style>
  <w:style w:type="character" w:customStyle="1" w:styleId="KonuBalChar">
    <w:name w:val="Konu Başlığı Char"/>
    <w:basedOn w:val="VarsaylanParagrafYazTipi"/>
    <w:link w:val="KonuBal"/>
    <w:uiPriority w:val="10"/>
    <w:rsid w:val="00DC0765"/>
    <w:rPr>
      <w:rFonts w:asciiTheme="majorHAnsi" w:eastAsiaTheme="majorEastAsia" w:hAnsiTheme="majorHAnsi" w:cstheme="majorBidi"/>
      <w:color w:val="17365D" w:themeColor="text2" w:themeShade="BF"/>
      <w:spacing w:val="5"/>
      <w:kern w:val="28"/>
      <w:sz w:val="52"/>
      <w:szCs w:val="52"/>
      <w:lang w:val="fr-CA" w:eastAsia="ar-SA"/>
    </w:rPr>
  </w:style>
  <w:style w:type="paragraph" w:styleId="stbilgi">
    <w:name w:val="header"/>
    <w:basedOn w:val="Normal"/>
    <w:link w:val="stbilgiChar"/>
    <w:uiPriority w:val="99"/>
    <w:unhideWhenUsed/>
    <w:rsid w:val="00446838"/>
    <w:pPr>
      <w:tabs>
        <w:tab w:val="center" w:pos="4703"/>
        <w:tab w:val="right" w:pos="9406"/>
      </w:tabs>
    </w:pPr>
  </w:style>
  <w:style w:type="character" w:customStyle="1" w:styleId="stbilgiChar">
    <w:name w:val="Üstbilgi Char"/>
    <w:basedOn w:val="VarsaylanParagrafYazTipi"/>
    <w:link w:val="stbilgi"/>
    <w:uiPriority w:val="99"/>
    <w:rsid w:val="00446838"/>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446838"/>
    <w:pPr>
      <w:tabs>
        <w:tab w:val="center" w:pos="4703"/>
        <w:tab w:val="right" w:pos="9406"/>
      </w:tabs>
    </w:pPr>
  </w:style>
  <w:style w:type="character" w:customStyle="1" w:styleId="AltbilgiChar">
    <w:name w:val="Altbilgi Char"/>
    <w:basedOn w:val="VarsaylanParagrafYazTipi"/>
    <w:link w:val="Altbilgi"/>
    <w:uiPriority w:val="99"/>
    <w:rsid w:val="00446838"/>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446838"/>
    <w:rPr>
      <w:rFonts w:ascii="Tahoma" w:hAnsi="Tahoma" w:cs="Tahoma"/>
      <w:sz w:val="16"/>
      <w:szCs w:val="16"/>
    </w:rPr>
  </w:style>
  <w:style w:type="character" w:customStyle="1" w:styleId="BalonMetniChar">
    <w:name w:val="Balon Metni Char"/>
    <w:basedOn w:val="VarsaylanParagrafYazTipi"/>
    <w:link w:val="BalonMetni"/>
    <w:uiPriority w:val="99"/>
    <w:semiHidden/>
    <w:rsid w:val="00446838"/>
    <w:rPr>
      <w:rFonts w:ascii="Tahoma" w:eastAsia="Times New Roman" w:hAnsi="Tahoma" w:cs="Tahoma"/>
      <w:sz w:val="16"/>
      <w:szCs w:val="16"/>
      <w:lang w:eastAsia="tr-TR"/>
    </w:rPr>
  </w:style>
  <w:style w:type="paragraph" w:customStyle="1" w:styleId="DE7B8801F2B1483F98D539CC92927118">
    <w:name w:val="DE7B8801F2B1483F98D539CC92927118"/>
    <w:rsid w:val="00446838"/>
    <w:rPr>
      <w:rFonts w:eastAsiaTheme="minorEastAsia"/>
      <w:lang w:val="en-US" w:eastAsia="ja-JP"/>
    </w:rPr>
  </w:style>
  <w:style w:type="paragraph" w:styleId="GvdeMetni2">
    <w:name w:val="Body Text 2"/>
    <w:basedOn w:val="Normal"/>
    <w:link w:val="GvdeMetni2Char"/>
    <w:uiPriority w:val="99"/>
    <w:rsid w:val="00BF7294"/>
    <w:pPr>
      <w:spacing w:after="120" w:line="480" w:lineRule="auto"/>
    </w:pPr>
    <w:rPr>
      <w:lang w:val="en-US" w:eastAsia="en-US"/>
    </w:rPr>
  </w:style>
  <w:style w:type="character" w:customStyle="1" w:styleId="GvdeMetni2Char">
    <w:name w:val="Gövde Metni 2 Char"/>
    <w:basedOn w:val="VarsaylanParagrafYazTipi"/>
    <w:link w:val="GvdeMetni2"/>
    <w:uiPriority w:val="99"/>
    <w:rsid w:val="00BF7294"/>
    <w:rPr>
      <w:rFonts w:ascii="Times New Roman" w:eastAsia="Times New Roman" w:hAnsi="Times New Roman" w:cs="Times New Roman"/>
      <w:sz w:val="24"/>
      <w:szCs w:val="24"/>
      <w:lang w:val="en-US"/>
    </w:rPr>
  </w:style>
  <w:style w:type="paragraph" w:styleId="DipnotMetni">
    <w:name w:val="footnote text"/>
    <w:basedOn w:val="Normal"/>
    <w:link w:val="DipnotMetniChar"/>
    <w:semiHidden/>
    <w:rsid w:val="009F1FFF"/>
    <w:rPr>
      <w:sz w:val="20"/>
      <w:szCs w:val="20"/>
    </w:rPr>
  </w:style>
  <w:style w:type="character" w:customStyle="1" w:styleId="DipnotMetniChar">
    <w:name w:val="Dipnot Metni Char"/>
    <w:basedOn w:val="VarsaylanParagrafYazTipi"/>
    <w:link w:val="DipnotMetni"/>
    <w:semiHidden/>
    <w:rsid w:val="009F1FFF"/>
    <w:rPr>
      <w:rFonts w:ascii="Times New Roman" w:eastAsia="Times New Roman" w:hAnsi="Times New Roman" w:cs="Times New Roman"/>
      <w:sz w:val="20"/>
      <w:szCs w:val="20"/>
      <w:lang w:eastAsia="tr-TR"/>
    </w:rPr>
  </w:style>
  <w:style w:type="paragraph" w:styleId="GvdeMetniGirintisi">
    <w:name w:val="Body Text Indent"/>
    <w:basedOn w:val="Normal"/>
    <w:link w:val="GvdeMetniGirintisiChar"/>
    <w:uiPriority w:val="99"/>
    <w:semiHidden/>
    <w:unhideWhenUsed/>
    <w:rsid w:val="009F1FFF"/>
    <w:pPr>
      <w:spacing w:after="120"/>
      <w:ind w:left="360"/>
    </w:pPr>
  </w:style>
  <w:style w:type="character" w:customStyle="1" w:styleId="GvdeMetniGirintisiChar">
    <w:name w:val="Gövde Metni Girintisi Char"/>
    <w:basedOn w:val="VarsaylanParagrafYazTipi"/>
    <w:link w:val="GvdeMetniGirintisi"/>
    <w:uiPriority w:val="99"/>
    <w:semiHidden/>
    <w:rsid w:val="009F1FFF"/>
    <w:rPr>
      <w:rFonts w:ascii="Times New Roman" w:eastAsia="Times New Roman" w:hAnsi="Times New Roman" w:cs="Times New Roman"/>
      <w:sz w:val="24"/>
      <w:szCs w:val="24"/>
      <w:lang w:eastAsia="tr-TR"/>
    </w:rPr>
  </w:style>
  <w:style w:type="character" w:customStyle="1" w:styleId="hpsatn">
    <w:name w:val="hps atn"/>
    <w:basedOn w:val="VarsaylanParagrafYazTipi"/>
    <w:rsid w:val="009F1FFF"/>
  </w:style>
  <w:style w:type="character" w:styleId="Vurgu">
    <w:name w:val="Emphasis"/>
    <w:basedOn w:val="VarsaylanParagrafYazTipi"/>
    <w:qFormat/>
    <w:rsid w:val="009F1FFF"/>
    <w:rPr>
      <w:i/>
      <w:iCs/>
    </w:rPr>
  </w:style>
  <w:style w:type="character" w:styleId="Gl">
    <w:name w:val="Strong"/>
    <w:basedOn w:val="VarsaylanParagrafYazTipi"/>
    <w:qFormat/>
    <w:rsid w:val="009F1FFF"/>
    <w:rPr>
      <w:b/>
      <w:bCs/>
    </w:rPr>
  </w:style>
  <w:style w:type="paragraph" w:styleId="NormalWeb">
    <w:name w:val="Normal (Web)"/>
    <w:basedOn w:val="Normal"/>
    <w:rsid w:val="009F1FFF"/>
    <w:pPr>
      <w:spacing w:before="100" w:beforeAutospacing="1" w:after="100" w:afterAutospacing="1"/>
    </w:pPr>
  </w:style>
  <w:style w:type="table" w:styleId="AkGlgeleme">
    <w:name w:val="Light Shading"/>
    <w:basedOn w:val="NormalTablo"/>
    <w:uiPriority w:val="60"/>
    <w:rsid w:val="004654E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image" Target="media/image8.wmf"/><Relationship Id="rId26" Type="http://schemas.openxmlformats.org/officeDocument/2006/relationships/image" Target="media/image12.wmf"/><Relationship Id="rId39" Type="http://schemas.openxmlformats.org/officeDocument/2006/relationships/oleObject" Target="embeddings/oleObject11.bin"/><Relationship Id="rId21" Type="http://schemas.openxmlformats.org/officeDocument/2006/relationships/oleObject" Target="embeddings/oleObject2.bin"/><Relationship Id="rId34" Type="http://schemas.openxmlformats.org/officeDocument/2006/relationships/image" Target="media/image16.wmf"/><Relationship Id="rId42" Type="http://schemas.openxmlformats.org/officeDocument/2006/relationships/image" Target="media/image20.wmf"/><Relationship Id="rId47" Type="http://schemas.openxmlformats.org/officeDocument/2006/relationships/oleObject" Target="embeddings/oleObject15.bin"/><Relationship Id="rId50" Type="http://schemas.openxmlformats.org/officeDocument/2006/relationships/oleObject" Target="embeddings/oleObject17.bin"/><Relationship Id="rId55" Type="http://schemas.openxmlformats.org/officeDocument/2006/relationships/image" Target="media/image25.wmf"/><Relationship Id="rId63" Type="http://schemas.openxmlformats.org/officeDocument/2006/relationships/hyperlink" Target="http://www.gazpromexport.ru/en/projects/1/"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epp.eurostat.ec.europa.eu/statistics_explained/images/3/3f/Energy_dependency_rate_-_all_products%2C_2010_%28%25_of_net_imports_in_gross_inland_consumption_and_bunkers%2C_based_on_tonnes_of_oil_equivalent%29.png" TargetMode="External"/><Relationship Id="rId29" Type="http://schemas.openxmlformats.org/officeDocument/2006/relationships/oleObject" Target="embeddings/oleObject6.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oleObject" Target="embeddings/oleObject10.bin"/><Relationship Id="rId40" Type="http://schemas.openxmlformats.org/officeDocument/2006/relationships/image" Target="media/image19.wmf"/><Relationship Id="rId45" Type="http://schemas.openxmlformats.org/officeDocument/2006/relationships/oleObject" Target="embeddings/oleObject14.bin"/><Relationship Id="rId53" Type="http://schemas.openxmlformats.org/officeDocument/2006/relationships/image" Target="media/image24.wmf"/><Relationship Id="rId58" Type="http://schemas.openxmlformats.org/officeDocument/2006/relationships/oleObject" Target="embeddings/oleObject22.bin"/><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oleObject" Target="embeddings/oleObject3.bin"/><Relationship Id="rId28" Type="http://schemas.openxmlformats.org/officeDocument/2006/relationships/image" Target="media/image13.wmf"/><Relationship Id="rId36" Type="http://schemas.openxmlformats.org/officeDocument/2006/relationships/image" Target="media/image17.wmf"/><Relationship Id="rId49" Type="http://schemas.openxmlformats.org/officeDocument/2006/relationships/oleObject" Target="embeddings/oleObject16.bin"/><Relationship Id="rId57" Type="http://schemas.openxmlformats.org/officeDocument/2006/relationships/image" Target="media/image26.wmf"/><Relationship Id="rId61" Type="http://schemas.openxmlformats.org/officeDocument/2006/relationships/oleObject" Target="embeddings/oleObject25.bin"/><Relationship Id="rId10" Type="http://schemas.openxmlformats.org/officeDocument/2006/relationships/hyperlink" Target="http://epp.eurostat.ec.europa.eu/statistics_explained/index.php/Glossary:Energy_dependency_rate" TargetMode="External"/><Relationship Id="rId19" Type="http://schemas.openxmlformats.org/officeDocument/2006/relationships/oleObject" Target="embeddings/oleObject1.bin"/><Relationship Id="rId31" Type="http://schemas.openxmlformats.org/officeDocument/2006/relationships/oleObject" Target="embeddings/oleObject7.bin"/><Relationship Id="rId44" Type="http://schemas.openxmlformats.org/officeDocument/2006/relationships/image" Target="media/image21.wmf"/><Relationship Id="rId52" Type="http://schemas.openxmlformats.org/officeDocument/2006/relationships/oleObject" Target="embeddings/oleObject19.bin"/><Relationship Id="rId60" Type="http://schemas.openxmlformats.org/officeDocument/2006/relationships/oleObject" Target="embeddings/oleObject24.bin"/><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5.emf"/><Relationship Id="rId22" Type="http://schemas.openxmlformats.org/officeDocument/2006/relationships/image" Target="media/image10.wmf"/><Relationship Id="rId27" Type="http://schemas.openxmlformats.org/officeDocument/2006/relationships/oleObject" Target="embeddings/oleObject5.bin"/><Relationship Id="rId30" Type="http://schemas.openxmlformats.org/officeDocument/2006/relationships/image" Target="media/image14.wmf"/><Relationship Id="rId35" Type="http://schemas.openxmlformats.org/officeDocument/2006/relationships/oleObject" Target="embeddings/oleObject9.bin"/><Relationship Id="rId43" Type="http://schemas.openxmlformats.org/officeDocument/2006/relationships/oleObject" Target="embeddings/oleObject13.bin"/><Relationship Id="rId48" Type="http://schemas.openxmlformats.org/officeDocument/2006/relationships/image" Target="media/image23.wmf"/><Relationship Id="rId56" Type="http://schemas.openxmlformats.org/officeDocument/2006/relationships/oleObject" Target="embeddings/oleObject21.bin"/><Relationship Id="rId64" Type="http://schemas.openxmlformats.org/officeDocument/2006/relationships/header" Target="header1.xml"/><Relationship Id="rId8" Type="http://schemas.openxmlformats.org/officeDocument/2006/relationships/hyperlink" Target="mailto:ornek@ksu.edu.tr" TargetMode="External"/><Relationship Id="rId51" Type="http://schemas.openxmlformats.org/officeDocument/2006/relationships/oleObject" Target="embeddings/oleObject18.bin"/><Relationship Id="rId3" Type="http://schemas.microsoft.com/office/2007/relationships/stylesWithEffects" Target="stylesWithEffects.xml"/><Relationship Id="rId12" Type="http://schemas.openxmlformats.org/officeDocument/2006/relationships/image" Target="media/image3.emf"/><Relationship Id="rId17" Type="http://schemas.openxmlformats.org/officeDocument/2006/relationships/image" Target="media/image7.png"/><Relationship Id="rId25" Type="http://schemas.openxmlformats.org/officeDocument/2006/relationships/oleObject" Target="embeddings/oleObject4.bin"/><Relationship Id="rId33" Type="http://schemas.openxmlformats.org/officeDocument/2006/relationships/oleObject" Target="embeddings/oleObject8.bin"/><Relationship Id="rId38" Type="http://schemas.openxmlformats.org/officeDocument/2006/relationships/image" Target="media/image18.wmf"/><Relationship Id="rId46" Type="http://schemas.openxmlformats.org/officeDocument/2006/relationships/image" Target="media/image22.wmf"/><Relationship Id="rId59" Type="http://schemas.openxmlformats.org/officeDocument/2006/relationships/oleObject" Target="embeddings/oleObject23.bin"/><Relationship Id="rId67" Type="http://schemas.openxmlformats.org/officeDocument/2006/relationships/theme" Target="theme/theme1.xml"/><Relationship Id="rId20" Type="http://schemas.openxmlformats.org/officeDocument/2006/relationships/image" Target="media/image9.wmf"/><Relationship Id="rId41" Type="http://schemas.openxmlformats.org/officeDocument/2006/relationships/oleObject" Target="embeddings/oleObject12.bin"/><Relationship Id="rId54" Type="http://schemas.openxmlformats.org/officeDocument/2006/relationships/oleObject" Target="embeddings/oleObject20.bin"/><Relationship Id="rId62" Type="http://schemas.openxmlformats.org/officeDocument/2006/relationships/hyperlink" Target="http://www.mfa.gov.tr/turkeys-energy-strategy.en.mf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7.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3639</Words>
  <Characters>20744</Characters>
  <Application>Microsoft Office Word</Application>
  <DocSecurity>0</DocSecurity>
  <Lines>172</Lines>
  <Paragraphs>48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International Conference on Economic and Social Studies, 10-11 May, 2013, International Burch University, Sarajevo</vt:lpstr>
      <vt:lpstr/>
    </vt:vector>
  </TitlesOfParts>
  <Company>Prestij Bilgisayar</Company>
  <LinksUpToDate>false</LinksUpToDate>
  <CharactersWithSpaces>24335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Conference on Economic and Social Studies, 10-11 May, 2013, International Burch University, Sarajevo</dc:title>
  <dc:creator>SEFA</dc:creator>
  <cp:lastModifiedBy>Merdzana</cp:lastModifiedBy>
  <cp:revision>2</cp:revision>
  <dcterms:created xsi:type="dcterms:W3CDTF">2013-07-04T10:51:00Z</dcterms:created>
  <dcterms:modified xsi:type="dcterms:W3CDTF">2013-07-04T10:51:00Z</dcterms:modified>
</cp:coreProperties>
</file>