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371AA2" w:rsidRPr="00371AA2" w:rsidRDefault="00371AA2" w:rsidP="00371AA2">
      <w:pPr>
        <w:spacing w:after="0" w:line="240" w:lineRule="auto"/>
        <w:jc w:val="center"/>
        <w:rPr>
          <w:rFonts w:ascii="Adobe Garamond Pro" w:hAnsi="Adobe Garamond Pro"/>
          <w:b/>
          <w:sz w:val="28"/>
          <w:szCs w:val="28"/>
        </w:rPr>
      </w:pPr>
      <w:r w:rsidRPr="00371AA2">
        <w:rPr>
          <w:rFonts w:ascii="Adobe Garamond Pro" w:hAnsi="Adobe Garamond Pro"/>
          <w:b/>
          <w:sz w:val="28"/>
          <w:szCs w:val="28"/>
        </w:rPr>
        <w:t>Ljudska prava i slobode, sigurnost i razvoj</w:t>
      </w:r>
    </w:p>
    <w:p w:rsidR="00371AA2" w:rsidRPr="00371AA2" w:rsidRDefault="00371AA2" w:rsidP="00371AA2">
      <w:pPr>
        <w:spacing w:after="0" w:line="240" w:lineRule="auto"/>
        <w:jc w:val="center"/>
        <w:rPr>
          <w:rFonts w:ascii="Adobe Garamond Pro" w:hAnsi="Adobe Garamond Pro"/>
          <w:b/>
          <w:sz w:val="28"/>
          <w:szCs w:val="28"/>
        </w:rPr>
      </w:pPr>
      <w:r w:rsidRPr="00371AA2">
        <w:rPr>
          <w:rFonts w:ascii="Adobe Garamond Pro" w:hAnsi="Adobe Garamond Pro"/>
          <w:b/>
          <w:sz w:val="28"/>
          <w:szCs w:val="28"/>
        </w:rPr>
        <w:t xml:space="preserve">Bosne i </w:t>
      </w:r>
      <w:r>
        <w:rPr>
          <w:rFonts w:ascii="Adobe Garamond Pro" w:hAnsi="Adobe Garamond Pro"/>
          <w:b/>
          <w:sz w:val="28"/>
          <w:szCs w:val="28"/>
        </w:rPr>
        <w:t>H</w:t>
      </w:r>
      <w:r w:rsidRPr="00371AA2">
        <w:rPr>
          <w:rFonts w:ascii="Adobe Garamond Pro" w:hAnsi="Adobe Garamond Pro"/>
          <w:b/>
          <w:sz w:val="28"/>
          <w:szCs w:val="28"/>
        </w:rPr>
        <w:t>ercegovine</w:t>
      </w:r>
    </w:p>
    <w:p w:rsidR="002D2430" w:rsidRPr="00747375" w:rsidRDefault="002D2430" w:rsidP="00371AA2">
      <w:pPr>
        <w:autoSpaceDE w:val="0"/>
        <w:autoSpaceDN w:val="0"/>
        <w:adjustRightInd w:val="0"/>
        <w:spacing w:after="0" w:line="240" w:lineRule="auto"/>
        <w:jc w:val="center"/>
        <w:rPr>
          <w:rFonts w:ascii="Adobe Garamond Pro" w:hAnsi="Adobe Garamond Pro"/>
          <w:b/>
          <w:sz w:val="28"/>
          <w:szCs w:val="28"/>
          <w:lang w:val="bs-Latn-BA"/>
        </w:rPr>
      </w:pPr>
    </w:p>
    <w:p w:rsidR="00BD0D1C" w:rsidRPr="00BD0D1C" w:rsidRDefault="00371AA2"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Mr</w:t>
      </w:r>
      <w:r w:rsidR="00A72A73">
        <w:rPr>
          <w:rFonts w:ascii="Adobe Garamond Pro" w:hAnsi="Adobe Garamond Pro"/>
          <w:b/>
        </w:rPr>
        <w:t xml:space="preserve">. </w:t>
      </w:r>
      <w:r>
        <w:rPr>
          <w:rFonts w:ascii="Adobe Garamond Pro" w:hAnsi="Adobe Garamond Pro"/>
          <w:b/>
        </w:rPr>
        <w:t>Nermin Lapandić</w:t>
      </w:r>
    </w:p>
    <w:p w:rsidR="00371AA2" w:rsidRDefault="00371AA2" w:rsidP="00371AA2">
      <w:pPr>
        <w:spacing w:after="0" w:line="240" w:lineRule="auto"/>
        <w:jc w:val="center"/>
        <w:rPr>
          <w:rFonts w:ascii="Adobe Garamond Pro" w:hAnsi="Adobe Garamond Pro"/>
        </w:rPr>
      </w:pPr>
      <w:r w:rsidRPr="00371AA2">
        <w:rPr>
          <w:rFonts w:ascii="Adobe Garamond Pro" w:hAnsi="Adobe Garamond Pro"/>
        </w:rPr>
        <w:t>Ministarstvo odbrane Bosne i Hercegovine</w:t>
      </w:r>
    </w:p>
    <w:p w:rsidR="00371AA2" w:rsidRPr="00371AA2" w:rsidRDefault="00371AA2" w:rsidP="00371AA2">
      <w:pPr>
        <w:spacing w:after="0"/>
        <w:jc w:val="center"/>
        <w:rPr>
          <w:rFonts w:ascii="Adobe Garamond Pro" w:hAnsi="Adobe Garamond Pro"/>
          <w:i/>
        </w:rPr>
      </w:pPr>
      <w:r w:rsidRPr="00371AA2">
        <w:rPr>
          <w:rFonts w:ascii="Adobe Garamond Pro" w:hAnsi="Adobe Garamond Pro"/>
          <w:i/>
        </w:rPr>
        <w:t>E-mail: n_lapandic@yahoo.com</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EB2124" w:rsidP="002D2430">
      <w:pPr>
        <w:pStyle w:val="NoSpacing"/>
        <w:jc w:val="both"/>
        <w:rPr>
          <w:rFonts w:ascii="Adobe Garamond Pro" w:eastAsia="Times New Roman" w:hAnsi="Adobe Garamond Pro" w:cs="Garamond"/>
          <w:b/>
          <w:color w:val="000000"/>
          <w:lang w:val="bs-Latn-BA"/>
        </w:rPr>
      </w:pPr>
      <w:r w:rsidRPr="00EB2124">
        <w:rPr>
          <w:rFonts w:ascii="Adobe Garamond Pro" w:hAnsi="Adobe Garamond Pro"/>
          <w:i/>
          <w:noProof/>
          <w:lang w:val="bs-Latn-BA" w:eastAsia="bs-Latn-BA"/>
        </w:rPr>
        <w:pict>
          <v:rect id="_x0000_s1035" style="position:absolute;left:0;text-align:left;margin-left:-98.15pt;margin-top:4.2pt;width:339.9pt;height:222.75pt;z-index:-251658240" fillcolor="#f2f2f2 [3052]" stroked="f"/>
        </w:pict>
      </w:r>
      <w:r w:rsidRPr="00EB2124">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41.1pt;margin-top:6.45pt;width:120.65pt;height:249.2pt;z-index:251656192;mso-width-relative:margin;mso-height-relative:margin" stroked="f" strokecolor="white [3212]">
            <v:textbox style="mso-next-textbox:#_x0000_s1031">
              <w:txbxContent>
                <w:p w:rsidR="00FF280B" w:rsidRPr="00371AA2" w:rsidRDefault="00A72A73" w:rsidP="004A55D4">
                  <w:pPr>
                    <w:spacing w:after="0" w:line="240" w:lineRule="auto"/>
                    <w:rPr>
                      <w:rFonts w:ascii="Adobe Garamond Pro" w:hAnsi="Adobe Garamond Pro"/>
                      <w:i/>
                      <w:sz w:val="20"/>
                      <w:szCs w:val="20"/>
                    </w:rPr>
                  </w:pPr>
                  <w:r w:rsidRPr="00371AA2">
                    <w:rPr>
                      <w:rFonts w:ascii="Adobe Garamond Pro" w:eastAsia="Times New Roman" w:hAnsi="Adobe Garamond Pro" w:cs="Times New Roman"/>
                      <w:b/>
                      <w:i/>
                      <w:sz w:val="20"/>
                      <w:szCs w:val="20"/>
                      <w:lang w:eastAsia="bs-Latn-BA"/>
                    </w:rPr>
                    <w:t>Ključne riječi:</w:t>
                  </w:r>
                  <w:r w:rsidRPr="00371AA2">
                    <w:rPr>
                      <w:rFonts w:ascii="Adobe Garamond Pro" w:eastAsia="Times New Roman" w:hAnsi="Adobe Garamond Pro" w:cs="Times New Roman"/>
                      <w:i/>
                      <w:sz w:val="20"/>
                      <w:szCs w:val="20"/>
                      <w:lang w:eastAsia="bs-Latn-BA"/>
                    </w:rPr>
                    <w:t xml:space="preserve"> </w:t>
                  </w:r>
                  <w:r w:rsidR="00371AA2" w:rsidRPr="00371AA2">
                    <w:rPr>
                      <w:rFonts w:ascii="Adobe Garamond Pro" w:hAnsi="Adobe Garamond Pro"/>
                      <w:bCs/>
                      <w:i/>
                      <w:sz w:val="20"/>
                      <w:szCs w:val="20"/>
                      <w:lang w:eastAsia="bs-Latn-BA"/>
                    </w:rPr>
                    <w:t>Ljuska prva i slobode, sigurnost, ustav, Bosna i Hercegvina, razvoj</w:t>
                  </w:r>
                </w:p>
              </w:txbxContent>
            </v:textbox>
          </v:shape>
        </w:pict>
      </w:r>
      <w:r w:rsidRPr="00EB2124">
        <w:rPr>
          <w:rFonts w:ascii="Adobe Garamond Pro" w:hAnsi="Adobe Garamond Pro"/>
          <w:i/>
          <w:noProof/>
          <w:lang w:val="bs-Latn-BA" w:eastAsia="zh-TW"/>
        </w:rPr>
        <w:pict>
          <v:shape id="_x0000_s1030" type="#_x0000_t202" style="position:absolute;left:0;text-align:left;margin-left:-16.25pt;margin-top:6.3pt;width:258pt;height:430.15pt;z-index:251657216;mso-width-relative:margin;mso-height-relative:margin" filled="f" stroked="f">
            <v:textbox style="mso-next-textbox:#_x0000_s1030">
              <w:txbxContent>
                <w:p w:rsidR="00371AA2" w:rsidRPr="00371AA2" w:rsidRDefault="00BD0D1C" w:rsidP="00371AA2">
                  <w:pPr>
                    <w:spacing w:after="0" w:line="240" w:lineRule="auto"/>
                    <w:ind w:right="-7"/>
                    <w:jc w:val="both"/>
                    <w:rPr>
                      <w:rFonts w:ascii="Adobe Garamond Pro" w:hAnsi="Adobe Garamond Pro"/>
                      <w:bCs/>
                      <w:i/>
                      <w:sz w:val="20"/>
                      <w:szCs w:val="20"/>
                      <w:lang w:eastAsia="bs-Latn-BA"/>
                    </w:rPr>
                  </w:pPr>
                  <w:r w:rsidRPr="00371AA2">
                    <w:rPr>
                      <w:rFonts w:ascii="Adobe Garamond Pro" w:hAnsi="Adobe Garamond Pro" w:cs="Times New Roman"/>
                      <w:b/>
                      <w:i/>
                      <w:sz w:val="20"/>
                      <w:szCs w:val="20"/>
                      <w:lang w:val="hr-BA"/>
                    </w:rPr>
                    <w:t>Sažetak</w:t>
                  </w:r>
                  <w:r w:rsidR="004A55D4" w:rsidRPr="00371AA2">
                    <w:rPr>
                      <w:rFonts w:ascii="Adobe Garamond Pro" w:hAnsi="Adobe Garamond Pro" w:cs="Times New Roman"/>
                      <w:b/>
                      <w:i/>
                      <w:sz w:val="20"/>
                      <w:szCs w:val="20"/>
                      <w:lang w:val="hr-BA"/>
                    </w:rPr>
                    <w:t>:</w:t>
                  </w:r>
                  <w:r w:rsidR="004A55D4" w:rsidRPr="00371AA2">
                    <w:rPr>
                      <w:rFonts w:ascii="Adobe Garamond Pro" w:hAnsi="Adobe Garamond Pro" w:cs="Times New Roman"/>
                      <w:i/>
                      <w:sz w:val="20"/>
                      <w:szCs w:val="20"/>
                      <w:lang w:val="bs-Latn-BA"/>
                    </w:rPr>
                    <w:t xml:space="preserve"> </w:t>
                  </w:r>
                  <w:r w:rsidR="00371AA2" w:rsidRPr="00371AA2">
                    <w:rPr>
                      <w:rFonts w:ascii="Adobe Garamond Pro" w:hAnsi="Adobe Garamond Pro"/>
                      <w:i/>
                      <w:sz w:val="20"/>
                      <w:szCs w:val="20"/>
                    </w:rPr>
                    <w:t xml:space="preserve">Jednu od bosanskohercegovačkih ustavnih antinomija karakteriše prihvatanje i direktna primjena </w:t>
                  </w:r>
                  <w:r w:rsidR="00371AA2" w:rsidRPr="00371AA2">
                    <w:rPr>
                      <w:rFonts w:ascii="Adobe Garamond Pro" w:eastAsia="MS Mincho" w:hAnsi="Adobe Garamond Pro"/>
                      <w:i/>
                      <w:sz w:val="20"/>
                      <w:szCs w:val="20"/>
                    </w:rPr>
                    <w:t xml:space="preserve">ljudskih prava i sloboda, koje su zagarantovane Evropskom konvencijom o ljudskim pravima i slobodama, sa postavljenim donjim limitom da </w:t>
                  </w:r>
                  <w:r w:rsidR="00371AA2" w:rsidRPr="00371AA2">
                    <w:rPr>
                      <w:rFonts w:ascii="Adobe Garamond Pro" w:hAnsi="Adobe Garamond Pro"/>
                      <w:bCs/>
                      <w:i/>
                      <w:sz w:val="20"/>
                      <w:szCs w:val="20"/>
                      <w:lang w:eastAsia="bs-Latn-BA"/>
                    </w:rPr>
                    <w:t xml:space="preserve">se ne može „okrnjiti ili ukinuti“ ni jedno od prava i sloboda navedenih u članu II Ustava Bosne i Hercegovine, dok se u </w:t>
                  </w:r>
                  <w:r w:rsidR="00371AA2" w:rsidRPr="00371AA2">
                    <w:rPr>
                      <w:rFonts w:ascii="Adobe Garamond Pro" w:eastAsia="MS Mincho" w:hAnsi="Adobe Garamond Pro"/>
                      <w:i/>
                      <w:sz w:val="20"/>
                      <w:szCs w:val="20"/>
                    </w:rPr>
                    <w:t>kreiranju ustavnih institucija i izbornog sistema ovi standardi krše</w:t>
                  </w:r>
                  <w:r w:rsidR="00371AA2" w:rsidRPr="00371AA2">
                    <w:rPr>
                      <w:rFonts w:ascii="Adobe Garamond Pro" w:hAnsi="Adobe Garamond Pro"/>
                      <w:bCs/>
                      <w:i/>
                      <w:sz w:val="20"/>
                      <w:szCs w:val="20"/>
                      <w:lang w:eastAsia="bs-Latn-BA"/>
                    </w:rPr>
                    <w:t>. Ovako definisana ljudska prava predstavljaju dobar generator sistemskog kršenja ljudskih prava u svim sferama društva, pri čemu je nemoguće u punom kapacitetu razvijati demokratske odnose i afirmirati ljudsko dostojanstvo. Kršenje ljudskih prava koči društveni razvoj i implicira prijetnje ljudskoj sigurnosti. U kakvim su korelacijskim odnosima ljudska prava i slobode, sigurnost i razvoj društva u cjelini, te kakve  bi eventualne intervencije mogle rehabilitirati bosanskohercegovačko društvo, pitanja su koja će biti problematizirana u ovome radu.</w:t>
                  </w:r>
                </w:p>
                <w:p w:rsidR="00C12C03" w:rsidRPr="00371AA2" w:rsidRDefault="00C12C03" w:rsidP="00371AA2">
                  <w:pPr>
                    <w:spacing w:after="0" w:line="240" w:lineRule="auto"/>
                    <w:jc w:val="both"/>
                    <w:rPr>
                      <w:rFonts w:ascii="Adobe Garamond Pro" w:hAnsi="Adobe Garamond Pro"/>
                      <w:i/>
                      <w:sz w:val="20"/>
                      <w:szCs w:val="20"/>
                      <w:lang w:val="bs-Latn-BA"/>
                    </w:rPr>
                  </w:pPr>
                </w:p>
                <w:p w:rsidR="00FF280B" w:rsidRPr="00371AA2" w:rsidRDefault="00FF280B" w:rsidP="00371AA2">
                  <w:pPr>
                    <w:spacing w:after="0" w:line="240" w:lineRule="auto"/>
                    <w:jc w:val="both"/>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4000A8" w:rsidRDefault="002D2430" w:rsidP="004000A8">
      <w:pPr>
        <w:spacing w:after="0" w:line="240" w:lineRule="auto"/>
        <w:jc w:val="both"/>
        <w:rPr>
          <w:rFonts w:ascii="Adobe Garamond Pro" w:hAnsi="Adobe Garamond Pro" w:cs="Times New Roman"/>
          <w:lang w:val="bs-Latn-BA"/>
        </w:rPr>
      </w:pPr>
      <w:r w:rsidRPr="004F51BA">
        <w:rPr>
          <w:rFonts w:ascii="Adobe Garamond Pro" w:hAnsi="Adobe Garamond Pro" w:cs="Times New Roman"/>
          <w:lang w:val="bs-Latn-BA"/>
        </w:rPr>
        <w:br w:type="page"/>
      </w:r>
    </w:p>
    <w:p w:rsidR="004000A8" w:rsidRPr="004000A8" w:rsidRDefault="004000A8" w:rsidP="004000A8">
      <w:pPr>
        <w:spacing w:after="0" w:line="240" w:lineRule="auto"/>
        <w:jc w:val="both"/>
        <w:rPr>
          <w:rFonts w:ascii="Adobe Garamond Pro" w:hAnsi="Adobe Garamond Pro" w:cs="Times New Roman"/>
          <w:b/>
          <w:lang w:val="bs-Latn-BA"/>
        </w:rPr>
      </w:pPr>
      <w:r w:rsidRPr="004000A8">
        <w:rPr>
          <w:rFonts w:ascii="Adobe Garamond Pro" w:hAnsi="Adobe Garamond Pro" w:cs="Times New Roman"/>
          <w:b/>
          <w:lang w:val="bs-Latn-BA"/>
        </w:rPr>
        <w:lastRenderedPageBreak/>
        <w:t>UVOD</w:t>
      </w:r>
    </w:p>
    <w:p w:rsidR="004000A8" w:rsidRDefault="004000A8" w:rsidP="004000A8">
      <w:pPr>
        <w:spacing w:after="0" w:line="240" w:lineRule="auto"/>
        <w:jc w:val="both"/>
        <w:rPr>
          <w:rFonts w:ascii="Adobe Garamond Pro" w:hAnsi="Adobe Garamond Pro" w:cs="Times New Roman"/>
          <w:lang w:val="bs-Latn-BA"/>
        </w:rPr>
      </w:pPr>
    </w:p>
    <w:p w:rsidR="004000A8" w:rsidRPr="004000A8" w:rsidRDefault="004000A8" w:rsidP="004000A8">
      <w:pPr>
        <w:spacing w:after="0" w:line="240" w:lineRule="auto"/>
        <w:jc w:val="both"/>
        <w:rPr>
          <w:rFonts w:ascii="Adobe Garamond Pro" w:hAnsi="Adobe Garamond Pro"/>
          <w:sz w:val="20"/>
          <w:szCs w:val="20"/>
        </w:rPr>
      </w:pPr>
      <w:r>
        <w:rPr>
          <w:rFonts w:ascii="Adobe Garamond Pro" w:hAnsi="Adobe Garamond Pro"/>
          <w:sz w:val="20"/>
          <w:szCs w:val="20"/>
        </w:rPr>
        <w:tab/>
      </w:r>
      <w:r w:rsidRPr="004000A8">
        <w:rPr>
          <w:rFonts w:ascii="Adobe Garamond Pro" w:hAnsi="Adobe Garamond Pro"/>
          <w:sz w:val="20"/>
          <w:szCs w:val="20"/>
        </w:rPr>
        <w:t xml:space="preserve">Temeljna zadaća svake države ogleda se u osiguranju ambijenta u kojemu građani mogu mirno da žive i rade, što se prvenstveno ogleda kroz normalno funkcionisanje ustavnog, drušvenog i ekonomskog poretka. U tom smislu država je posebno dužna da osigura svojim građanima puno i jednako uživanje ljudskih prava i sloboda, kao osnove demokratskih odnosa u svakom civiliziranom društvu. </w:t>
      </w:r>
    </w:p>
    <w:p w:rsidR="004000A8" w:rsidRDefault="004000A8" w:rsidP="004000A8">
      <w:pPr>
        <w:spacing w:after="0" w:line="240" w:lineRule="auto"/>
        <w:ind w:left="720"/>
        <w:rPr>
          <w:rFonts w:ascii="Adobe Garamond Pro" w:hAnsi="Adobe Garamond Pro"/>
          <w:sz w:val="20"/>
          <w:szCs w:val="20"/>
        </w:rPr>
      </w:pPr>
    </w:p>
    <w:p w:rsidR="004000A8" w:rsidRPr="004000A8" w:rsidRDefault="004000A8" w:rsidP="004000A8">
      <w:pPr>
        <w:spacing w:after="0" w:line="240" w:lineRule="auto"/>
        <w:rPr>
          <w:rStyle w:val="Strong"/>
          <w:rFonts w:ascii="Adobe Garamond Pro" w:hAnsi="Adobe Garamond Pro"/>
        </w:rPr>
      </w:pPr>
      <w:r w:rsidRPr="004000A8">
        <w:rPr>
          <w:rStyle w:val="Strong"/>
          <w:rFonts w:ascii="Adobe Garamond Pro" w:hAnsi="Adobe Garamond Pro"/>
        </w:rPr>
        <w:t>Ljudska prava od internacionalizacije do etnizacije</w:t>
      </w:r>
    </w:p>
    <w:p w:rsidR="004000A8" w:rsidRPr="004000A8" w:rsidRDefault="004000A8" w:rsidP="004000A8">
      <w:pPr>
        <w:spacing w:after="0" w:line="240" w:lineRule="auto"/>
        <w:jc w:val="both"/>
        <w:rPr>
          <w:rFonts w:ascii="Adobe Garamond Pro" w:hAnsi="Adobe Garamond Pro"/>
          <w:sz w:val="20"/>
          <w:szCs w:val="20"/>
        </w:rPr>
      </w:pPr>
    </w:p>
    <w:p w:rsidR="004000A8" w:rsidRDefault="004000A8" w:rsidP="004000A8">
      <w:pPr>
        <w:spacing w:after="0" w:line="240" w:lineRule="auto"/>
        <w:ind w:firstLine="720"/>
        <w:jc w:val="both"/>
        <w:rPr>
          <w:rFonts w:ascii="Adobe Garamond Pro" w:hAnsi="Adobe Garamond Pro"/>
          <w:sz w:val="20"/>
          <w:szCs w:val="20"/>
        </w:rPr>
      </w:pPr>
      <w:r w:rsidRPr="004000A8">
        <w:rPr>
          <w:rFonts w:ascii="Adobe Garamond Pro" w:hAnsi="Adobe Garamond Pro"/>
          <w:sz w:val="20"/>
          <w:szCs w:val="20"/>
        </w:rPr>
        <w:t>Razvoj ljudskih prava i sloboda karakteriše nekoliko etapa, posebno karakteristična je ona koja je počela po završetku Drugog svjetskog rata, kada su se mogle spoznati sve razmjere teških ratnih zločina. Smatrajući da Povelja Ujedinjenih nacija</w:t>
      </w:r>
      <w:r w:rsidRPr="004000A8">
        <w:rPr>
          <w:rStyle w:val="FootnoteReference"/>
          <w:rFonts w:ascii="Adobe Garamond Pro" w:hAnsi="Adobe Garamond Pro"/>
          <w:sz w:val="20"/>
          <w:szCs w:val="20"/>
        </w:rPr>
        <w:footnoteReference w:id="2"/>
      </w:r>
      <w:r w:rsidRPr="004000A8">
        <w:rPr>
          <w:rFonts w:ascii="Adobe Garamond Pro" w:hAnsi="Adobe Garamond Pro"/>
          <w:sz w:val="20"/>
          <w:szCs w:val="20"/>
        </w:rPr>
        <w:t xml:space="preserve">, ne pruža mogućnost dovoljne zaštite prava koja treba da štiti, izrađena je Univerzalna deklaracija o ljudskim pravima, koju je usvojila Generalna skupština </w:t>
      </w:r>
      <w:hyperlink r:id="rId8" w:tooltip="UN" w:history="1">
        <w:r w:rsidRPr="004000A8">
          <w:rPr>
            <w:rStyle w:val="Hyperlink"/>
            <w:rFonts w:ascii="Adobe Garamond Pro" w:hAnsi="Adobe Garamond Pro"/>
            <w:color w:val="auto"/>
            <w:sz w:val="20"/>
            <w:szCs w:val="20"/>
            <w:u w:val="none"/>
          </w:rPr>
          <w:t>Ujedinjenih nacija</w:t>
        </w:r>
      </w:hyperlink>
      <w:r w:rsidRPr="004000A8">
        <w:rPr>
          <w:rFonts w:ascii="Adobe Garamond Pro" w:hAnsi="Adobe Garamond Pro"/>
          <w:sz w:val="20"/>
          <w:szCs w:val="20"/>
        </w:rPr>
        <w:t xml:space="preserve"> (A/RES/217, 10. decembra 1948. u palati Šalot u </w:t>
      </w:r>
      <w:hyperlink r:id="rId9" w:tooltip="Pariz" w:history="1">
        <w:r w:rsidRPr="004000A8">
          <w:rPr>
            <w:rStyle w:val="Hyperlink"/>
            <w:rFonts w:ascii="Adobe Garamond Pro" w:hAnsi="Adobe Garamond Pro"/>
            <w:color w:val="auto"/>
            <w:sz w:val="20"/>
            <w:szCs w:val="20"/>
            <w:u w:val="none"/>
          </w:rPr>
          <w:t>Parizu</w:t>
        </w:r>
      </w:hyperlink>
      <w:r w:rsidRPr="004000A8">
        <w:rPr>
          <w:rFonts w:ascii="Adobe Garamond Pro" w:hAnsi="Adobe Garamond Pro"/>
          <w:sz w:val="20"/>
          <w:szCs w:val="20"/>
        </w:rPr>
        <w:t xml:space="preserve">), čime je predstavljeno opće viđenje Organizacije UN-a vezano za pitanja </w:t>
      </w:r>
      <w:hyperlink r:id="rId10" w:tooltip="Ljudska prava" w:history="1">
        <w:r w:rsidRPr="004000A8">
          <w:rPr>
            <w:rStyle w:val="Hyperlink"/>
            <w:rFonts w:ascii="Adobe Garamond Pro" w:hAnsi="Adobe Garamond Pro"/>
            <w:color w:val="auto"/>
            <w:sz w:val="20"/>
            <w:szCs w:val="20"/>
            <w:u w:val="none"/>
          </w:rPr>
          <w:t>ljudskih prava</w:t>
        </w:r>
      </w:hyperlink>
      <w:r w:rsidRPr="004000A8">
        <w:rPr>
          <w:rFonts w:ascii="Adobe Garamond Pro" w:hAnsi="Adobe Garamond Pro"/>
          <w:sz w:val="20"/>
          <w:szCs w:val="20"/>
        </w:rPr>
        <w:t>. Osim što predstavlja odgovor na teška kršenja ljudskih prava na globalnom nivou, Univerzalna deklaracija o ljudskim pravima je specifična sa svojim nosećim karakteristikama - početak internacionalizacije ljudskih prava i izgradnja međunarodno pravnog sistema njihove zaštite. Ovaj proces je tada shvaćen kao značajan iz razloga što poštivanje ljudskih prava predstavlja bitan faktor za međunarodni mir i sigurnost.</w:t>
      </w:r>
    </w:p>
    <w:p w:rsidR="004000A8" w:rsidRPr="004000A8" w:rsidRDefault="004000A8" w:rsidP="004000A8">
      <w:pPr>
        <w:spacing w:after="0" w:line="240" w:lineRule="auto"/>
        <w:ind w:firstLine="720"/>
        <w:jc w:val="both"/>
        <w:rPr>
          <w:rFonts w:ascii="Adobe Garamond Pro" w:hAnsi="Adobe Garamond Pro"/>
          <w:sz w:val="20"/>
          <w:szCs w:val="20"/>
        </w:rPr>
      </w:pPr>
    </w:p>
    <w:p w:rsidR="004000A8" w:rsidRPr="004000A8" w:rsidRDefault="004000A8" w:rsidP="004000A8">
      <w:pPr>
        <w:spacing w:after="0" w:line="240" w:lineRule="auto"/>
        <w:ind w:firstLine="360"/>
        <w:jc w:val="both"/>
        <w:rPr>
          <w:rFonts w:ascii="Adobe Garamond Pro" w:hAnsi="Adobe Garamond Pro"/>
          <w:sz w:val="20"/>
          <w:szCs w:val="20"/>
        </w:rPr>
      </w:pPr>
      <w:r w:rsidRPr="004000A8">
        <w:rPr>
          <w:rFonts w:ascii="Adobe Garamond Pro" w:hAnsi="Adobe Garamond Pro"/>
          <w:sz w:val="20"/>
          <w:szCs w:val="20"/>
        </w:rPr>
        <w:t>Razvoj ljudskih prava i sloboda u Bosni i Hercegovini započinje jednu svoju etapu okončanjem rata protiv Bosne i Hercegovine, i to internacionalnim sporazumom „Dayton Peace Agrement“</w:t>
      </w:r>
      <w:r w:rsidRPr="004000A8">
        <w:rPr>
          <w:rFonts w:ascii="Adobe Garamond Pro" w:hAnsi="Adobe Garamond Pro"/>
          <w:bCs/>
          <w:sz w:val="20"/>
          <w:szCs w:val="20"/>
        </w:rPr>
        <w:t xml:space="preserve"> </w:t>
      </w:r>
      <w:r w:rsidRPr="004000A8">
        <w:rPr>
          <w:rFonts w:ascii="Adobe Garamond Pro" w:hAnsi="Adobe Garamond Pro"/>
          <w:b/>
          <w:bCs/>
          <w:sz w:val="20"/>
          <w:szCs w:val="20"/>
        </w:rPr>
        <w:t>-</w:t>
      </w:r>
      <w:r w:rsidRPr="004000A8">
        <w:rPr>
          <w:rFonts w:ascii="Adobe Garamond Pro" w:hAnsi="Adobe Garamond Pro"/>
          <w:bCs/>
          <w:sz w:val="20"/>
          <w:szCs w:val="20"/>
        </w:rPr>
        <w:t>Opći okvirni sporazum za mir u Bosni i Hercegovini</w:t>
      </w:r>
      <w:r w:rsidRPr="004000A8">
        <w:rPr>
          <w:rStyle w:val="FootnoteReference"/>
          <w:rFonts w:ascii="Adobe Garamond Pro" w:hAnsi="Adobe Garamond Pro"/>
          <w:bCs/>
          <w:sz w:val="20"/>
          <w:szCs w:val="20"/>
        </w:rPr>
        <w:footnoteReference w:id="3"/>
      </w:r>
      <w:r w:rsidRPr="004000A8">
        <w:rPr>
          <w:rFonts w:ascii="Adobe Garamond Pro" w:hAnsi="Adobe Garamond Pro"/>
          <w:sz w:val="20"/>
          <w:szCs w:val="20"/>
        </w:rPr>
        <w:t>, čiji je dodatak označen kao „Ustav“ (Aneks 4), iako je ugovoren kao dodatak, ali nije formalno naslovljen kao ugovor, nego je označen kao ustav.</w:t>
      </w:r>
      <w:r w:rsidRPr="004000A8">
        <w:rPr>
          <w:rStyle w:val="FootnoteReference"/>
          <w:rFonts w:ascii="Adobe Garamond Pro" w:hAnsi="Adobe Garamond Pro"/>
          <w:sz w:val="20"/>
          <w:szCs w:val="20"/>
        </w:rPr>
        <w:footnoteReference w:id="4"/>
      </w:r>
      <w:r w:rsidRPr="004000A8">
        <w:rPr>
          <w:rFonts w:ascii="Adobe Garamond Pro" w:hAnsi="Adobe Garamond Pro"/>
          <w:sz w:val="20"/>
          <w:szCs w:val="20"/>
        </w:rPr>
        <w:t xml:space="preserve"> Pravni historičar Harold Berman,  upozorio je da je „radikalna transformacija pravnog sistema paradoksalne naravi, jer je jedna od temeljnih svrha prava da omogući stabilnost i kontinuitet.“</w:t>
      </w:r>
      <w:r w:rsidRPr="004000A8">
        <w:rPr>
          <w:rStyle w:val="FootnoteReference"/>
          <w:rFonts w:ascii="Adobe Garamond Pro" w:hAnsi="Adobe Garamond Pro"/>
          <w:sz w:val="20"/>
          <w:szCs w:val="20"/>
        </w:rPr>
        <w:footnoteReference w:id="5"/>
      </w:r>
      <w:r w:rsidRPr="004000A8">
        <w:rPr>
          <w:rFonts w:ascii="Adobe Garamond Pro" w:hAnsi="Adobe Garamond Pro"/>
          <w:sz w:val="20"/>
          <w:szCs w:val="20"/>
        </w:rPr>
        <w:t xml:space="preserve"> Uvažavajući činjenice da je Sporazumom okončan višegodišnji rat i da je to konkretan rezultat real-političkog pristupa bosanskom pitanju</w:t>
      </w:r>
      <w:r w:rsidRPr="004000A8">
        <w:rPr>
          <w:rStyle w:val="FootnoteReference"/>
          <w:rFonts w:ascii="Adobe Garamond Pro" w:hAnsi="Adobe Garamond Pro"/>
          <w:sz w:val="20"/>
          <w:szCs w:val="20"/>
        </w:rPr>
        <w:footnoteReference w:id="6"/>
      </w:r>
      <w:r w:rsidRPr="004000A8">
        <w:rPr>
          <w:rFonts w:ascii="Adobe Garamond Pro" w:hAnsi="Adobe Garamond Pro"/>
          <w:sz w:val="20"/>
          <w:szCs w:val="20"/>
        </w:rPr>
        <w:t>, iznenadne promjene velikog opsega u pravu su zaista neprirodne. „Kada se to dogodi, nešto mora biti poduzeto kako bi se spriječilo da se promjena ponovi.“</w:t>
      </w:r>
      <w:r w:rsidRPr="004000A8">
        <w:rPr>
          <w:rStyle w:val="FootnoteReference"/>
          <w:rFonts w:ascii="Adobe Garamond Pro" w:hAnsi="Adobe Garamond Pro"/>
          <w:sz w:val="20"/>
          <w:szCs w:val="20"/>
        </w:rPr>
        <w:footnoteReference w:id="7"/>
      </w:r>
    </w:p>
    <w:p w:rsidR="004000A8" w:rsidRDefault="004000A8" w:rsidP="004000A8">
      <w:pPr>
        <w:spacing w:after="0" w:line="240" w:lineRule="auto"/>
        <w:ind w:firstLine="360"/>
        <w:jc w:val="both"/>
        <w:rPr>
          <w:rFonts w:ascii="Adobe Garamond Pro" w:hAnsi="Adobe Garamond Pro"/>
          <w:sz w:val="20"/>
          <w:szCs w:val="20"/>
        </w:rPr>
      </w:pPr>
      <w:r w:rsidRPr="004000A8">
        <w:rPr>
          <w:rFonts w:ascii="Adobe Garamond Pro" w:hAnsi="Adobe Garamond Pro"/>
          <w:sz w:val="20"/>
          <w:szCs w:val="20"/>
        </w:rPr>
        <w:lastRenderedPageBreak/>
        <w:t>Povlačeći paralelu stravičnih povreda ljudskog dostojanstva, posebno holokausta tokom Drugog svjetskog rata, što je bio povod za izradu Univerzalne deklaracije o ljudskim pravima, sa teškim povredama ljudskih prava uokvirenih u najteži zločin u Evropi poslije Drugog svjetskog rata, počinjen u julu 1995. godine u Srebrenici, što je determiniralo poseban status ljudskih prava i sloboda u ustavnom uređenju Bosne i Hercegovine, u „nadustavnu“ kategoriju, pri čemu se ne može „okrnjiti ili ukinuti“ ni jedno od prava i sloboda navedenih u članu II Ustava BiH, može se konstatovati da bez obzira što se u prvom slučaju radi o globalnom poretku, a u drugom slučaju na nivou jedne suverene države, većina prijetnji ljudskoj sigurnosti implicira direktno ili indirektno zadiranje u ljudska prava.</w:t>
      </w:r>
    </w:p>
    <w:p w:rsidR="004000A8" w:rsidRPr="004000A8" w:rsidRDefault="004000A8" w:rsidP="004000A8">
      <w:pPr>
        <w:spacing w:after="0" w:line="240" w:lineRule="auto"/>
        <w:ind w:firstLine="360"/>
        <w:jc w:val="both"/>
        <w:rPr>
          <w:rFonts w:ascii="Adobe Garamond Pro" w:hAnsi="Adobe Garamond Pro"/>
          <w:sz w:val="20"/>
          <w:szCs w:val="20"/>
        </w:rPr>
      </w:pPr>
    </w:p>
    <w:p w:rsidR="004000A8" w:rsidRPr="004000A8" w:rsidRDefault="004000A8" w:rsidP="004000A8">
      <w:pPr>
        <w:spacing w:after="0" w:line="240" w:lineRule="auto"/>
        <w:jc w:val="both"/>
        <w:rPr>
          <w:rFonts w:ascii="Adobe Garamond Pro" w:hAnsi="Adobe Garamond Pro"/>
          <w:sz w:val="20"/>
          <w:szCs w:val="20"/>
        </w:rPr>
      </w:pPr>
      <w:r w:rsidRPr="004000A8">
        <w:rPr>
          <w:rFonts w:ascii="Adobe Garamond Pro" w:hAnsi="Adobe Garamond Pro"/>
          <w:sz w:val="20"/>
          <w:szCs w:val="20"/>
        </w:rPr>
        <w:t xml:space="preserve">Ljudska prava i sloboda u Ustavu Bosne i Hercegovine su internacionalizirana, na način da su najviše norme i standardi o ljudskim pravima prihvaćeni u ustavno uređenje BiH i “ovi akti imaju prioritet nad svim ostalim zakonima”. Međutim, u </w:t>
      </w:r>
      <w:r w:rsidRPr="004000A8">
        <w:rPr>
          <w:rFonts w:ascii="Adobe Garamond Pro" w:eastAsia="MS Mincho" w:hAnsi="Adobe Garamond Pro"/>
          <w:sz w:val="20"/>
          <w:szCs w:val="20"/>
        </w:rPr>
        <w:t xml:space="preserve">kreiranju ustavnih institucija i izbornog sistema, Ustav BiH krši ove standarde. Ovako definisana ljudska prava i slobode u Ustavu BiH </w:t>
      </w:r>
      <w:r w:rsidRPr="004000A8">
        <w:rPr>
          <w:rFonts w:ascii="Adobe Garamond Pro" w:hAnsi="Adobe Garamond Pro"/>
          <w:sz w:val="20"/>
          <w:szCs w:val="20"/>
        </w:rPr>
        <w:t xml:space="preserve">nam govore o </w:t>
      </w:r>
      <w:r w:rsidRPr="004000A8">
        <w:rPr>
          <w:rFonts w:ascii="Adobe Garamond Pro" w:hAnsi="Adobe Garamond Pro"/>
          <w:i/>
          <w:sz w:val="20"/>
          <w:szCs w:val="20"/>
        </w:rPr>
        <w:t>„nosećoj antinomiji ustavnog modela.“</w:t>
      </w:r>
      <w:r w:rsidRPr="004000A8">
        <w:rPr>
          <w:rStyle w:val="FootnoteReference"/>
          <w:rFonts w:ascii="Adobe Garamond Pro" w:hAnsi="Adobe Garamond Pro"/>
          <w:i/>
          <w:sz w:val="20"/>
          <w:szCs w:val="20"/>
        </w:rPr>
        <w:footnoteReference w:id="8"/>
      </w:r>
      <w:r w:rsidRPr="004000A8">
        <w:rPr>
          <w:rFonts w:ascii="Adobe Garamond Pro" w:hAnsi="Adobe Garamond Pro"/>
          <w:sz w:val="20"/>
          <w:szCs w:val="20"/>
        </w:rPr>
        <w:t xml:space="preserve"> Ovako ustavno rješenje omogućilo je sistemsku diskriminaciju, pa je i Evropski sud za ljudska prava, svojom odlukom u slučaju </w:t>
      </w:r>
      <w:r w:rsidRPr="004000A8">
        <w:rPr>
          <w:rStyle w:val="Emphasis"/>
          <w:rFonts w:ascii="Adobe Garamond Pro" w:hAnsi="Adobe Garamond Pro"/>
          <w:b w:val="0"/>
          <w:sz w:val="20"/>
          <w:szCs w:val="20"/>
        </w:rPr>
        <w:t>Sejdić i Finci protiv BiH</w:t>
      </w:r>
      <w:r w:rsidRPr="004000A8">
        <w:rPr>
          <w:rStyle w:val="FootnoteReference"/>
          <w:rFonts w:ascii="Adobe Garamond Pro" w:hAnsi="Adobe Garamond Pro"/>
          <w:i/>
          <w:iCs/>
          <w:sz w:val="20"/>
          <w:szCs w:val="20"/>
        </w:rPr>
        <w:footnoteReference w:id="9"/>
      </w:r>
      <w:r w:rsidRPr="004000A8">
        <w:rPr>
          <w:rStyle w:val="Emphasis"/>
          <w:rFonts w:ascii="Adobe Garamond Pro" w:hAnsi="Adobe Garamond Pro"/>
          <w:sz w:val="20"/>
          <w:szCs w:val="20"/>
        </w:rPr>
        <w:t>,</w:t>
      </w:r>
      <w:r w:rsidRPr="004000A8">
        <w:rPr>
          <w:rFonts w:ascii="Adobe Garamond Pro" w:hAnsi="Adobe Garamond Pro"/>
          <w:sz w:val="20"/>
          <w:szCs w:val="20"/>
        </w:rPr>
        <w:t xml:space="preserve"> utvrdio da su odredbe Ustava BiH koje uređuju način izbora članova Predsjedništva BiH i delegata Doma naroda Parlamentarne skupštine BiH diskriminatorni, jer ne pružaju mogućnost pripadnicima „ostalih“ da budu predstavljeni u tim tijelima. Sud je dalje utvrdio da, diskriminacija postoji i u odnosu na mogućnost izbora u navedena tijela pripadnika konstitutivnih naroda sa teritorija u kojem ne predstavljaju većinu, odnosno Srba koji imaju prebivalište izvan teritorije RS-a, te Hrvata i Bošnjaka sa prebivalištem izvan FBiH, čime se direktno krši međunarodni standard osiguravanja opšteg i jednakog biračkog prava. Potrebno je naglasiti da Dejtonski ustavni koncept favorizuje kolektivitete konstitutivnih naroda što je u suprotnosti sa Evropskom konvencijom koja insistira na jednakosti građana i zabrani svih oblika diskriminacije. </w:t>
      </w:r>
      <w:r w:rsidRPr="004000A8">
        <w:rPr>
          <w:rFonts w:ascii="Adobe Garamond Pro" w:eastAsia="MS Mincho" w:hAnsi="Adobe Garamond Pro"/>
          <w:sz w:val="20"/>
          <w:szCs w:val="20"/>
        </w:rPr>
        <w:t xml:space="preserve">Aneksi 3, 6, 7. Daytonskog sporazuma također su posvećeni ljudskim pravima i slobodama. </w:t>
      </w:r>
      <w:r w:rsidRPr="004000A8">
        <w:rPr>
          <w:rFonts w:ascii="Adobe Garamond Pro" w:hAnsi="Adobe Garamond Pro"/>
          <w:sz w:val="20"/>
          <w:szCs w:val="20"/>
        </w:rPr>
        <w:t>U ovako postavljenom ustavnom uređenju, gdje je dominantan primat kolektivnih interesa, uz selektivnu primjenu određenih odredbi koje se tiču zaštite tih interesa, impliciraju se negativni efekti na formiranje i funkcionisanje vlasti na državnom i entitetskom nivou.</w:t>
      </w:r>
      <w:r w:rsidRPr="004000A8">
        <w:rPr>
          <w:rFonts w:ascii="Adobe Garamond Pro" w:hAnsi="Adobe Garamond Pro"/>
          <w:sz w:val="20"/>
          <w:szCs w:val="20"/>
          <w:lang w:eastAsia="bs-Latn-BA"/>
        </w:rPr>
        <w:t xml:space="preserve"> Može se konstatovati da je </w:t>
      </w:r>
      <w:r w:rsidRPr="004000A8">
        <w:rPr>
          <w:rFonts w:ascii="Adobe Garamond Pro" w:hAnsi="Adobe Garamond Pro"/>
          <w:sz w:val="20"/>
          <w:szCs w:val="20"/>
        </w:rPr>
        <w:t>efektivna garancija ljudskih (individualnih) prava u slučaju BiH istovremeno suspendirana u korist kolektivnih prava „konstitutivnih naroda“.</w:t>
      </w:r>
    </w:p>
    <w:p w:rsidR="004000A8" w:rsidRPr="004000A8" w:rsidRDefault="004000A8" w:rsidP="004000A8">
      <w:pPr>
        <w:spacing w:after="0" w:line="240" w:lineRule="auto"/>
        <w:jc w:val="both"/>
        <w:rPr>
          <w:rFonts w:ascii="Adobe Garamond Pro" w:eastAsia="TimesNewRoman" w:hAnsi="Adobe Garamond Pro"/>
          <w:sz w:val="20"/>
          <w:szCs w:val="20"/>
          <w:highlight w:val="yellow"/>
        </w:rPr>
      </w:pPr>
    </w:p>
    <w:p w:rsidR="004000A8" w:rsidRPr="004000A8" w:rsidRDefault="004000A8" w:rsidP="004000A8">
      <w:pPr>
        <w:spacing w:after="0" w:line="240" w:lineRule="auto"/>
        <w:rPr>
          <w:rFonts w:ascii="Adobe Garamond Pro" w:hAnsi="Adobe Garamond Pro"/>
          <w:b/>
        </w:rPr>
      </w:pPr>
      <w:r w:rsidRPr="004000A8">
        <w:rPr>
          <w:rFonts w:ascii="Adobe Garamond Pro" w:hAnsi="Adobe Garamond Pro"/>
          <w:b/>
        </w:rPr>
        <w:t>Potreba transformacije partikularno definisanih odbrambeno-sigurnosnih struktura u jedinstvenu odbrambeno-sigurnosnu strukturu Bosne i Hercegovine</w:t>
      </w:r>
    </w:p>
    <w:p w:rsidR="004000A8" w:rsidRPr="004000A8" w:rsidRDefault="004000A8" w:rsidP="004000A8">
      <w:pPr>
        <w:spacing w:after="0" w:line="240" w:lineRule="auto"/>
        <w:jc w:val="both"/>
        <w:rPr>
          <w:rFonts w:ascii="Adobe Garamond Pro" w:hAnsi="Adobe Garamond Pro"/>
          <w:b/>
          <w:bCs/>
          <w:sz w:val="20"/>
          <w:szCs w:val="20"/>
        </w:rPr>
      </w:pPr>
    </w:p>
    <w:p w:rsidR="004000A8" w:rsidRDefault="004000A8" w:rsidP="004000A8">
      <w:pPr>
        <w:autoSpaceDE w:val="0"/>
        <w:autoSpaceDN w:val="0"/>
        <w:adjustRightInd w:val="0"/>
        <w:spacing w:after="0" w:line="240" w:lineRule="auto"/>
        <w:ind w:firstLine="720"/>
        <w:jc w:val="both"/>
        <w:rPr>
          <w:rFonts w:ascii="Adobe Garamond Pro" w:hAnsi="Adobe Garamond Pro"/>
          <w:sz w:val="20"/>
          <w:szCs w:val="20"/>
        </w:rPr>
      </w:pPr>
      <w:r w:rsidRPr="004000A8">
        <w:rPr>
          <w:rFonts w:ascii="Adobe Garamond Pro" w:hAnsi="Adobe Garamond Pro"/>
          <w:sz w:val="20"/>
          <w:szCs w:val="20"/>
        </w:rPr>
        <w:t>Sigurnost, mir, red, pravna, lična, ekonomska i socijalna sigurnost svakog građanina i zajednice u cjelini, u direktnoj mjeri zavise od toga kojim mehanizmima i koliko država štiti i poštuje ljudska prava i slobode. Koliko će država uspjeti napraviti ambijent za ostvarljivost i primjenjivost ljudskih prava i sloboda, između ostalog ovisi i o stepenu sigurnosti u državi koja se po sistemu spojnih posuda reflektira na sigurnost pojedinca. Korelacija sigurnosti, individualne ili kolektivne na ljudska prava i slobode najveća je na prava koja pripadaju prvoj generaciji tj. osnovna ili prirodna ljudska prava. Ova prava impliciraju specifična ograničenja vlasti uključujući i upotrebu sredstava državne moći, a istovremeno štite od napada svake vrste i to na način da vrijednosti kao što su život, sloboda, integritet i ljudsko dostojanstvo ostanu netaknuti. „Iako se u demokratskim državama vlast vrši u ime i u interesu svih, ili barem većine građana, svaka vlast se u načelu svodi na monopol nad fizičkom silom i mogućnost upravljanja sudbinama i životima drugih ljudi. Kao takva vlast je vrlo pogodna za zloupotrebe i manipulacije, pa se ljudska prava pojavljuju kao najvažniji mehanizam i sredstvo za ograničenje i kontrolu vlasti, odnosno važan uslov normalnog vršenje procesa vladanja i upravljanja.“</w:t>
      </w:r>
      <w:r w:rsidRPr="004000A8">
        <w:rPr>
          <w:rStyle w:val="FootnoteReference"/>
          <w:rFonts w:ascii="Adobe Garamond Pro" w:hAnsi="Adobe Garamond Pro"/>
          <w:sz w:val="20"/>
          <w:szCs w:val="20"/>
        </w:rPr>
        <w:footnoteReference w:id="10"/>
      </w:r>
      <w:r w:rsidRPr="004000A8">
        <w:rPr>
          <w:rFonts w:ascii="Adobe Garamond Pro" w:hAnsi="Adobe Garamond Pro"/>
          <w:sz w:val="20"/>
          <w:szCs w:val="20"/>
        </w:rPr>
        <w:t xml:space="preserve"> U demokratskom društvu sigurnost, između ostalog, ima za cilj zaštitu ljudskih prava te se s povećanjem stepena sigurnosti povećava mogućnost poštvanja ljudskih prava.</w:t>
      </w:r>
    </w:p>
    <w:p w:rsidR="004000A8" w:rsidRPr="004000A8" w:rsidRDefault="004000A8" w:rsidP="004000A8">
      <w:pPr>
        <w:autoSpaceDE w:val="0"/>
        <w:autoSpaceDN w:val="0"/>
        <w:adjustRightInd w:val="0"/>
        <w:spacing w:after="0" w:line="240" w:lineRule="auto"/>
        <w:ind w:firstLine="720"/>
        <w:jc w:val="both"/>
        <w:rPr>
          <w:rFonts w:ascii="Adobe Garamond Pro" w:hAnsi="Adobe Garamond Pro"/>
          <w:sz w:val="20"/>
          <w:szCs w:val="20"/>
        </w:rPr>
      </w:pPr>
    </w:p>
    <w:p w:rsidR="004000A8" w:rsidRDefault="004000A8" w:rsidP="004000A8">
      <w:pPr>
        <w:autoSpaceDE w:val="0"/>
        <w:autoSpaceDN w:val="0"/>
        <w:adjustRightInd w:val="0"/>
        <w:spacing w:after="0" w:line="240" w:lineRule="auto"/>
        <w:ind w:firstLine="720"/>
        <w:jc w:val="both"/>
        <w:rPr>
          <w:rFonts w:ascii="Adobe Garamond Pro" w:hAnsi="Adobe Garamond Pro"/>
          <w:sz w:val="20"/>
          <w:szCs w:val="20"/>
        </w:rPr>
      </w:pPr>
      <w:r w:rsidRPr="004000A8">
        <w:rPr>
          <w:rFonts w:ascii="Adobe Garamond Pro" w:hAnsi="Adobe Garamond Pro"/>
          <w:sz w:val="20"/>
          <w:szCs w:val="20"/>
        </w:rPr>
        <w:t xml:space="preserve">Državnim institucijama Bosne i Hercegovine u Daytonu su oduzete mnoge nadležnosti, posebno one koje su potrebne radi ostvarenja osnovnih funkcija države, dok su predimenzionisane entitetske nadležnosti, a u Federaciji BiH i kantonalne. Tradicionalne ustavne institucije države koje posjeduju mehanizme fizičke prinude, zadužene za vanjsku i unutrašnju sigurnost, prema daytonskom uređenju su u nadležnosti entiteta. Kroz historiju države su nastojale da jasno utemelje i odrede funkcije vojske i policije, uvrstivši oružane snage ili vojsku, te policiju kao pod-sistem uprave, u hijerarhijskoj organizaciji podčinjene ministarstvima odbrane, odnosno ministarstvu unutrašnjih poslova ili sigurnosti. Kao organi uprave, odbrambeno–sigurnosne strukture obavljaju različite djelatnosti koje su im po ustavu ili zakonu određene. Osnovna funkcija vojske tj. oružanih snaga u svim državama je zaštita neovisnosti države, njenog suvereniteta i teritorijalnog integriteta (vanjska sigurnost), ili u širem kontekstu, njenih građana, dok je funkcija policije uglavnom vezana za unutrašnju sigurnost. Uspostavljanje, funkcioniranje i nadzor nad sistemom odbrane u nadležnosti je najviših organa svake države, a od prvih pisanih Ustava, u sve „temeljne zakone“ ugrađene su pojedine odredbe o odbrani ili pitanjima koja su usko vezana za odbranu. Opštim okvirnim sporazumom za mir u Bosni i Hercegovini, entitetetima je dodijeljena nadležnost za odbranu i sigurnost. Tek nakon insistiranja međunarodnih faktora na nekoliko važnih pitanja u BiH, među kojima su najznačajnija iskazana u obavezi da BiH mora uraditi ustavno uspostavljene </w:t>
      </w:r>
      <w:r w:rsidRPr="004000A8">
        <w:rPr>
          <w:rFonts w:ascii="Adobe Garamond Pro" w:hAnsi="Adobe Garamond Pro"/>
          <w:sz w:val="20"/>
          <w:szCs w:val="20"/>
        </w:rPr>
        <w:lastRenderedPageBreak/>
        <w:t>procedure za osiguranje efikasne demokratske kontrole vojske, policije i obavještajnih službi, i da nakon toga Država mora preuzeti sve ovlasti i nadležnosti u oblasti odbrane, koje joj omogućavaju da ispoštuje međunarodne obveze, izvršen je prijenos nadležnosti iz oblasti odbrane sa entiteta na državni nivo. Potrebno je naglasiti da je postojao širok spektar posljedica</w:t>
      </w:r>
      <w:r w:rsidRPr="004000A8">
        <w:rPr>
          <w:rFonts w:ascii="Adobe Garamond Pro" w:hAnsi="Adobe Garamond Pro"/>
          <w:bCs/>
          <w:sz w:val="20"/>
          <w:szCs w:val="20"/>
        </w:rPr>
        <w:t xml:space="preserve"> neuređenosti pravnog okvira i/ili neadekvatne kontrole odbrambeno sigurnosnog sektora,</w:t>
      </w:r>
      <w:r w:rsidRPr="004000A8">
        <w:rPr>
          <w:rFonts w:ascii="Adobe Garamond Pro" w:hAnsi="Adobe Garamond Pro"/>
          <w:sz w:val="20"/>
          <w:szCs w:val="20"/>
        </w:rPr>
        <w:t xml:space="preserve"> od kršenja osnovnih ljudskih prava i sloboda, niskog stepena demokratizacije u društvu do lošeg ugleda države u smislu privlačenja stranih investicija, te kočenja ulaska u euro-atlantske integracije. Samo jasno pravno definirano i ispravno upravljanje i kontrolisanje u sigurnosnom i odbrambenom sektoru može stabilizirati državu, ubrzati demokratizaciju društva u cjelini i predstaviti državu kao prihvatljivu za strane investitore. </w:t>
      </w:r>
    </w:p>
    <w:p w:rsidR="004000A8" w:rsidRPr="004000A8" w:rsidRDefault="004000A8" w:rsidP="004000A8">
      <w:pPr>
        <w:autoSpaceDE w:val="0"/>
        <w:autoSpaceDN w:val="0"/>
        <w:adjustRightInd w:val="0"/>
        <w:spacing w:after="0" w:line="240" w:lineRule="auto"/>
        <w:ind w:firstLine="720"/>
        <w:jc w:val="both"/>
        <w:rPr>
          <w:rFonts w:ascii="Adobe Garamond Pro" w:hAnsi="Adobe Garamond Pro"/>
          <w:sz w:val="20"/>
          <w:szCs w:val="20"/>
        </w:rPr>
      </w:pPr>
    </w:p>
    <w:p w:rsidR="004000A8" w:rsidRDefault="004000A8" w:rsidP="004000A8">
      <w:pPr>
        <w:autoSpaceDE w:val="0"/>
        <w:autoSpaceDN w:val="0"/>
        <w:adjustRightInd w:val="0"/>
        <w:spacing w:after="0" w:line="240" w:lineRule="auto"/>
        <w:jc w:val="both"/>
        <w:rPr>
          <w:rFonts w:ascii="Adobe Garamond Pro" w:hAnsi="Adobe Garamond Pro"/>
          <w:sz w:val="20"/>
          <w:szCs w:val="20"/>
        </w:rPr>
      </w:pPr>
      <w:r w:rsidRPr="004000A8">
        <w:rPr>
          <w:rFonts w:ascii="Adobe Garamond Pro" w:hAnsi="Adobe Garamond Pro"/>
          <w:sz w:val="20"/>
          <w:szCs w:val="20"/>
        </w:rPr>
        <w:t>Vladavina prava predstavlja temelj demokratskog društva. U takvom okruženju ustavno-pravno definisanje sektora sigurnosti i odbrane predstavlja osnovu, da demokratsko izabrani predstavnici vlasti vrše kontrolu i tako upravljaju sa resursima oružane državne moći.</w:t>
      </w:r>
    </w:p>
    <w:p w:rsidR="004000A8" w:rsidRPr="004000A8" w:rsidRDefault="004000A8" w:rsidP="004000A8">
      <w:pPr>
        <w:autoSpaceDE w:val="0"/>
        <w:autoSpaceDN w:val="0"/>
        <w:adjustRightInd w:val="0"/>
        <w:spacing w:after="0" w:line="240" w:lineRule="auto"/>
        <w:jc w:val="both"/>
        <w:rPr>
          <w:rFonts w:ascii="Adobe Garamond Pro" w:hAnsi="Adobe Garamond Pro"/>
          <w:sz w:val="20"/>
          <w:szCs w:val="20"/>
        </w:rPr>
      </w:pPr>
      <w:r w:rsidRPr="004000A8">
        <w:rPr>
          <w:rFonts w:ascii="Adobe Garamond Pro" w:hAnsi="Adobe Garamond Pro"/>
          <w:sz w:val="20"/>
          <w:szCs w:val="20"/>
        </w:rPr>
        <w:t xml:space="preserve"> </w:t>
      </w:r>
    </w:p>
    <w:p w:rsidR="004000A8" w:rsidRDefault="004000A8" w:rsidP="004000A8">
      <w:pPr>
        <w:spacing w:after="0" w:line="240" w:lineRule="auto"/>
        <w:ind w:firstLine="720"/>
        <w:jc w:val="both"/>
        <w:rPr>
          <w:rFonts w:ascii="Adobe Garamond Pro" w:hAnsi="Adobe Garamond Pro"/>
          <w:sz w:val="20"/>
          <w:szCs w:val="20"/>
        </w:rPr>
      </w:pPr>
      <w:r w:rsidRPr="004000A8">
        <w:rPr>
          <w:rFonts w:ascii="Adobe Garamond Pro" w:hAnsi="Adobe Garamond Pro"/>
          <w:sz w:val="20"/>
          <w:szCs w:val="20"/>
        </w:rPr>
        <w:t xml:space="preserve">Entitetski ustavi su na različite načine regulisali na koji način će entitetske vlasti reagovati u slučaju nastupanja vanrednih prilika kao i u slučaju neposredne ratne opasnosti, ratnog stanja ili drugih vanrednih prilika, što je u konačnici moglo da ima nesagledive sigurnosne posljedice. Zakonom o odbrani BiH iz 2005 godine, sve dileme oko nadležnosti o navedenim pitanjima su jasno precizirane, te je regulisana većina važnih pitanja iz oblasti odbrane, pa čak i ona pitanja koja su specifična za ustave. Također, Zakonom je regulisan prijelazni režim nadležnosti između entiteta i Države pri čemu je Zakon o odbrani BiH u cjelosti ostao u okviru ustavnih ovlaštenja i u skladu sa Ustavom BiH. Na ovaj način reparisana „konstrukciona“ greška iz Daytona kojom je nadležnost odbrane bila na entitetima, čime BiH postaje kompatibilna sa ostalim državama. Zakonom o odbrani, Oružane snage štite BiH, a BiH legitimno raspolaže oružanom silom što joj daje moć. Prije stupanja na snagu Zakona o odbrani, BiH je bila diskreditirana i bez ikakve moći. </w:t>
      </w:r>
    </w:p>
    <w:p w:rsidR="004000A8" w:rsidRPr="004000A8" w:rsidRDefault="004000A8" w:rsidP="004000A8">
      <w:pPr>
        <w:spacing w:after="0" w:line="240" w:lineRule="auto"/>
        <w:ind w:firstLine="720"/>
        <w:jc w:val="both"/>
        <w:rPr>
          <w:rFonts w:ascii="Adobe Garamond Pro" w:hAnsi="Adobe Garamond Pro"/>
          <w:sz w:val="20"/>
          <w:szCs w:val="20"/>
        </w:rPr>
      </w:pPr>
    </w:p>
    <w:p w:rsidR="004000A8" w:rsidRDefault="004000A8" w:rsidP="004000A8">
      <w:pPr>
        <w:spacing w:after="0" w:line="240" w:lineRule="auto"/>
        <w:ind w:firstLine="720"/>
        <w:jc w:val="both"/>
        <w:rPr>
          <w:rFonts w:ascii="Adobe Garamond Pro" w:hAnsi="Adobe Garamond Pro"/>
          <w:sz w:val="20"/>
          <w:szCs w:val="20"/>
        </w:rPr>
      </w:pPr>
      <w:r w:rsidRPr="004000A8">
        <w:rPr>
          <w:rFonts w:ascii="Adobe Garamond Pro" w:hAnsi="Adobe Garamond Pro"/>
          <w:sz w:val="20"/>
          <w:szCs w:val="20"/>
        </w:rPr>
        <w:t>Nakon prestrukturiranja oružanih snaga na državni nivo, integracije obavještajnih službi u jedinstvenu Obavještajno sigurnosnu agenciju BiH</w:t>
      </w:r>
      <w:r w:rsidRPr="004000A8">
        <w:rPr>
          <w:rStyle w:val="FootnoteReference"/>
          <w:rFonts w:ascii="Adobe Garamond Pro" w:hAnsi="Adobe Garamond Pro"/>
          <w:sz w:val="20"/>
          <w:szCs w:val="20"/>
        </w:rPr>
        <w:footnoteReference w:id="11"/>
      </w:r>
      <w:r w:rsidRPr="004000A8">
        <w:rPr>
          <w:rFonts w:ascii="Adobe Garamond Pro" w:hAnsi="Adobe Garamond Pro"/>
          <w:sz w:val="20"/>
          <w:szCs w:val="20"/>
        </w:rPr>
        <w:t>, formiranja Državne granične službe (DGS) sada već Granične policije BiH, formiranjem na državnom nivou Agencije (sa policijskim ovlaštenjima) za istrage i zaštitu (SIPA), uspostavljene su fundamentalne nadležnosti države, koji su ne prirodno, pripadale entitetima.</w:t>
      </w:r>
      <w:r w:rsidRPr="004000A8">
        <w:rPr>
          <w:rStyle w:val="FootnoteReference"/>
          <w:rFonts w:ascii="Adobe Garamond Pro" w:hAnsi="Adobe Garamond Pro"/>
          <w:sz w:val="20"/>
          <w:szCs w:val="20"/>
        </w:rPr>
        <w:footnoteReference w:id="12"/>
      </w:r>
      <w:r w:rsidRPr="004000A8">
        <w:rPr>
          <w:rFonts w:ascii="Adobe Garamond Pro" w:hAnsi="Adobe Garamond Pro"/>
          <w:sz w:val="20"/>
          <w:szCs w:val="20"/>
        </w:rPr>
        <w:t xml:space="preserve"> Proces izgradnje demokratskih institucija i nije išao tako lahko, postojale su i postoje opstrukcije zbog diskriminirajućih odredbi daytonskog ustava. Najbolji primjer je naknadno uspostavljanje Suda Bosne i Hercegovine</w:t>
      </w:r>
      <w:r w:rsidRPr="004000A8">
        <w:rPr>
          <w:rStyle w:val="FootnoteReference"/>
          <w:rFonts w:ascii="Adobe Garamond Pro" w:hAnsi="Adobe Garamond Pro"/>
          <w:sz w:val="20"/>
          <w:szCs w:val="20"/>
        </w:rPr>
        <w:footnoteReference w:id="13"/>
      </w:r>
      <w:r w:rsidRPr="004000A8">
        <w:rPr>
          <w:rFonts w:ascii="Adobe Garamond Pro" w:hAnsi="Adobe Garamond Pro"/>
          <w:sz w:val="20"/>
          <w:szCs w:val="20"/>
        </w:rPr>
        <w:t xml:space="preserve">, kojem su definisane uske nadležnosti tako da Sud BiH nema hijerarhijski </w:t>
      </w:r>
      <w:r w:rsidRPr="004000A8">
        <w:rPr>
          <w:rFonts w:ascii="Adobe Garamond Pro" w:hAnsi="Adobe Garamond Pro"/>
          <w:sz w:val="20"/>
          <w:szCs w:val="20"/>
        </w:rPr>
        <w:lastRenderedPageBreak/>
        <w:t>odnos sa entitetskim pravosuđem, te kao takav ne može nadoknaditi nepostojanje Vrhovnog suda Bosne i Hercegovine.</w:t>
      </w:r>
    </w:p>
    <w:p w:rsidR="004000A8" w:rsidRPr="004000A8" w:rsidRDefault="004000A8" w:rsidP="004000A8">
      <w:pPr>
        <w:spacing w:after="0" w:line="240" w:lineRule="auto"/>
        <w:ind w:firstLine="720"/>
        <w:jc w:val="both"/>
        <w:rPr>
          <w:rFonts w:ascii="Adobe Garamond Pro" w:hAnsi="Adobe Garamond Pro"/>
          <w:sz w:val="20"/>
          <w:szCs w:val="20"/>
        </w:rPr>
      </w:pPr>
    </w:p>
    <w:p w:rsidR="004000A8" w:rsidRDefault="004000A8" w:rsidP="004000A8">
      <w:pPr>
        <w:spacing w:after="0" w:line="240" w:lineRule="auto"/>
        <w:ind w:firstLine="720"/>
        <w:jc w:val="both"/>
        <w:rPr>
          <w:rFonts w:ascii="Adobe Garamond Pro" w:hAnsi="Adobe Garamond Pro"/>
          <w:sz w:val="20"/>
          <w:szCs w:val="20"/>
        </w:rPr>
      </w:pPr>
      <w:r w:rsidRPr="004000A8">
        <w:rPr>
          <w:rFonts w:ascii="Adobe Garamond Pro" w:hAnsi="Adobe Garamond Pro"/>
          <w:sz w:val="20"/>
          <w:szCs w:val="20"/>
        </w:rPr>
        <w:t xml:space="preserve">Međutim, konstrukciona rješenja iz Daytona nisu korigovana u slučaju postizanja međunarodnih standarda u uspostavljanju i funkcionisanju unutrašnje sigurnosti, odnosno policije na nivou BiH. Tako u entitetu Federacija BiH, postoji 11 policijskih organizacija, gdje Federalna uprava policije nema nadležnost komandovanja nad 10 kantonalnih policija. Svaki kanton ima svog ministra unutarnjih poslova. Izvor ovoga, da kažemo policijskog problema, je složena ustavna struktura utemeljena Washingtonskim sporazumom, te odnos institucija Federacija – Kantoni, predstavlja samo projeciranu sliku, takve organizacije na policiju. Policija u manjem BiH entitetu, je organizirana po centraliziranom principu komandovanja, što ima svoje prednosti kada je u pitanju efikasnost komandovanja i demokratska kontrola. Trend u BiH je da svako želi imati kontrolu nad policijom, što je bio jedan od razloga da ne zaživi Koncept za uspostavljanje jedinstvene policijske strukture u Bosni i Hercegovini, koji je bio  zasnovan na osnovu tri principa, koje je Evropska komisija postavila kao osnov i minimalan uslov za reformu. Ti principi su: </w:t>
      </w:r>
    </w:p>
    <w:p w:rsidR="004000A8" w:rsidRPr="004000A8" w:rsidRDefault="004000A8" w:rsidP="004000A8">
      <w:pPr>
        <w:spacing w:after="0" w:line="240" w:lineRule="auto"/>
        <w:ind w:firstLine="720"/>
        <w:jc w:val="both"/>
        <w:rPr>
          <w:rFonts w:ascii="Adobe Garamond Pro" w:hAnsi="Adobe Garamond Pro"/>
          <w:sz w:val="20"/>
          <w:szCs w:val="20"/>
        </w:rPr>
      </w:pPr>
    </w:p>
    <w:p w:rsidR="004000A8" w:rsidRPr="004000A8" w:rsidRDefault="004000A8" w:rsidP="004000A8">
      <w:pPr>
        <w:pStyle w:val="Default"/>
        <w:numPr>
          <w:ilvl w:val="0"/>
          <w:numId w:val="43"/>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lang w:val="bs-Latn-BA"/>
        </w:rPr>
      </w:pPr>
      <w:r w:rsidRPr="004000A8">
        <w:rPr>
          <w:rFonts w:ascii="Adobe Garamond Pro" w:hAnsi="Adobe Garamond Pro"/>
          <w:color w:val="auto"/>
          <w:sz w:val="20"/>
          <w:szCs w:val="20"/>
          <w:lang w:val="bs-Latn-BA"/>
        </w:rPr>
        <w:t xml:space="preserve">državna ovlaštenja za sva budžetska i zakonodavna policijska pitanja, </w:t>
      </w:r>
    </w:p>
    <w:p w:rsidR="004000A8" w:rsidRPr="004000A8" w:rsidRDefault="004000A8" w:rsidP="004000A8">
      <w:pPr>
        <w:pStyle w:val="Default"/>
        <w:numPr>
          <w:ilvl w:val="0"/>
          <w:numId w:val="43"/>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lang w:val="bs-Latn-BA"/>
        </w:rPr>
      </w:pPr>
      <w:r w:rsidRPr="004000A8">
        <w:rPr>
          <w:rFonts w:ascii="Adobe Garamond Pro" w:hAnsi="Adobe Garamond Pro"/>
          <w:color w:val="auto"/>
          <w:sz w:val="20"/>
          <w:szCs w:val="20"/>
          <w:lang w:val="bs-Latn-BA"/>
        </w:rPr>
        <w:t xml:space="preserve">funkcionalne oblasti policijskih nadležnosti </w:t>
      </w:r>
    </w:p>
    <w:p w:rsidR="004000A8" w:rsidRDefault="004000A8" w:rsidP="004000A8">
      <w:pPr>
        <w:numPr>
          <w:ilvl w:val="0"/>
          <w:numId w:val="43"/>
        </w:numPr>
        <w:spacing w:after="0" w:line="240" w:lineRule="auto"/>
        <w:jc w:val="both"/>
        <w:rPr>
          <w:rFonts w:ascii="Adobe Garamond Pro" w:hAnsi="Adobe Garamond Pro"/>
          <w:sz w:val="20"/>
          <w:szCs w:val="20"/>
        </w:rPr>
      </w:pPr>
      <w:r w:rsidRPr="004000A8">
        <w:rPr>
          <w:rFonts w:ascii="Adobe Garamond Pro" w:hAnsi="Adobe Garamond Pro"/>
          <w:sz w:val="20"/>
          <w:szCs w:val="20"/>
        </w:rPr>
        <w:t>nemiješanje politike u operativne aktivnosti policije.</w:t>
      </w:r>
    </w:p>
    <w:p w:rsidR="004000A8" w:rsidRPr="004000A8" w:rsidRDefault="004000A8" w:rsidP="004000A8">
      <w:pPr>
        <w:spacing w:after="0" w:line="240" w:lineRule="auto"/>
        <w:jc w:val="both"/>
        <w:rPr>
          <w:rFonts w:ascii="Adobe Garamond Pro" w:hAnsi="Adobe Garamond Pro"/>
          <w:sz w:val="20"/>
          <w:szCs w:val="20"/>
        </w:rPr>
      </w:pPr>
    </w:p>
    <w:p w:rsidR="004000A8" w:rsidRDefault="00E85604" w:rsidP="004000A8">
      <w:pPr>
        <w:spacing w:after="0" w:line="240" w:lineRule="auto"/>
        <w:jc w:val="both"/>
        <w:rPr>
          <w:rFonts w:ascii="Adobe Garamond Pro" w:hAnsi="Adobe Garamond Pro"/>
          <w:sz w:val="20"/>
          <w:szCs w:val="20"/>
        </w:rPr>
      </w:pPr>
      <w:r>
        <w:rPr>
          <w:rFonts w:ascii="Adobe Garamond Pro" w:hAnsi="Adobe Garamond Pro"/>
          <w:sz w:val="20"/>
          <w:szCs w:val="20"/>
        </w:rPr>
        <w:tab/>
      </w:r>
      <w:r w:rsidR="004000A8" w:rsidRPr="004000A8">
        <w:rPr>
          <w:rFonts w:ascii="Adobe Garamond Pro" w:hAnsi="Adobe Garamond Pro"/>
          <w:sz w:val="20"/>
          <w:szCs w:val="20"/>
        </w:rPr>
        <w:t>Prema ovim principima i konceptu za uspostavljanje jedinstvene policijske strukture, BiH bi  imala isključivu nadležnost nad svim policijskim pitanjima, uključujući i zakonodavnu i budžetsku nadležnost. Ovaj koncept kao prijedlog nije prihvaćen od strane Narodne skupština Republike Srpske u aprilu 2005. godine. Visoki predstavnik Pedy Ešdaun je u maju 2005. godine, odlučio da prekine daljnje pregovore o reformi policije, nakon što lideri iz manjeg entiteta nisu prihvatili prijedlog da mape policijskih regija prelaze entitetske granice.</w:t>
      </w:r>
    </w:p>
    <w:p w:rsidR="004000A8" w:rsidRPr="004000A8" w:rsidRDefault="004000A8" w:rsidP="004000A8">
      <w:pPr>
        <w:spacing w:after="0" w:line="240" w:lineRule="auto"/>
        <w:jc w:val="both"/>
        <w:rPr>
          <w:rFonts w:ascii="Adobe Garamond Pro" w:hAnsi="Adobe Garamond Pro"/>
          <w:sz w:val="20"/>
          <w:szCs w:val="20"/>
        </w:rPr>
      </w:pPr>
      <w:r w:rsidRPr="004000A8">
        <w:rPr>
          <w:rFonts w:ascii="Adobe Garamond Pro" w:hAnsi="Adobe Garamond Pro"/>
          <w:sz w:val="20"/>
          <w:szCs w:val="20"/>
        </w:rPr>
        <w:t xml:space="preserve"> </w:t>
      </w:r>
    </w:p>
    <w:p w:rsidR="004000A8" w:rsidRDefault="004000A8" w:rsidP="004000A8">
      <w:pPr>
        <w:autoSpaceDE w:val="0"/>
        <w:autoSpaceDN w:val="0"/>
        <w:adjustRightInd w:val="0"/>
        <w:spacing w:after="0" w:line="240" w:lineRule="auto"/>
        <w:ind w:firstLine="720"/>
        <w:jc w:val="both"/>
        <w:rPr>
          <w:rFonts w:ascii="Adobe Garamond Pro" w:hAnsi="Adobe Garamond Pro"/>
          <w:sz w:val="20"/>
          <w:szCs w:val="20"/>
        </w:rPr>
      </w:pPr>
      <w:r w:rsidRPr="004000A8">
        <w:rPr>
          <w:rFonts w:ascii="Adobe Garamond Pro" w:hAnsi="Adobe Garamond Pro"/>
          <w:sz w:val="20"/>
          <w:szCs w:val="20"/>
        </w:rPr>
        <w:t xml:space="preserve">Sporazum o reformi policije, prolazio je kroz nekoliko faza, međutim konkretnih pomaka nije bilo do 14. februara 2008. godine, kada je Vijeće ministara BiH većinom glasova predložilo zakone o Direkciji za koordinaciju policijskih tijela i Agenciji za podršku policijskoj strukturi, te ih uputilo u parlamentarnu proceduru. Predstavnički dom Parlamentarne skupštine BiH usvojio je 11. aprila 2008. godine, navedene prijedloge zakona o reformi policije, čime je ispunjen uslov za potpisivanje Sporazuma o stabilizaciji i pridruživanju sa Evropskom unijom. Dom naroda Parlamentarne skupštine BiH, pet dana kasnije, usvojio je set zakona o reformi policije i to Zakon o reformi policije, Zakon o nezavisnim i nadzornim tijelima policijske strukture BiH, te Zakon o Direkciji za koordinaciju policijskih tijela i agencijama za podršku policijskoj strukturi. Navedenom „reformom“ sigurnosnih struktura u BiH,  Evropska unija se zadovoljila i prihvatila iste, te omogućila BiH da potpiše Sporazum o stabilizaciji i pridruživanju, a tri principa koja je prvobitno zactrala ostali su mrtvo slovo na papiru. Pored ova tri principa nije ostvaren i </w:t>
      </w:r>
      <w:r w:rsidRPr="004000A8">
        <w:rPr>
          <w:rFonts w:ascii="Adobe Garamond Pro" w:hAnsi="Adobe Garamond Pro"/>
          <w:sz w:val="20"/>
          <w:szCs w:val="20"/>
        </w:rPr>
        <w:lastRenderedPageBreak/>
        <w:t xml:space="preserve">osnovni cilj reforme policije a to je povećanje sigurnosti građana, kroz unapređenje efikasnosti i poboljšanje kapaciteta za borbu protiv organiziranog kriminala, terorizma, povećanje standarda rada policajaca, te racionalizacija policijskih službi i unapređenje uslova za rad. </w:t>
      </w:r>
    </w:p>
    <w:p w:rsidR="004000A8" w:rsidRPr="004000A8" w:rsidRDefault="004000A8" w:rsidP="004000A8">
      <w:pPr>
        <w:autoSpaceDE w:val="0"/>
        <w:autoSpaceDN w:val="0"/>
        <w:adjustRightInd w:val="0"/>
        <w:spacing w:after="0" w:line="240" w:lineRule="auto"/>
        <w:ind w:firstLine="720"/>
        <w:jc w:val="both"/>
        <w:rPr>
          <w:rFonts w:ascii="Adobe Garamond Pro" w:hAnsi="Adobe Garamond Pro"/>
          <w:sz w:val="20"/>
          <w:szCs w:val="20"/>
        </w:rPr>
      </w:pPr>
    </w:p>
    <w:p w:rsidR="004000A8" w:rsidRDefault="004000A8" w:rsidP="004000A8">
      <w:pPr>
        <w:autoSpaceDE w:val="0"/>
        <w:autoSpaceDN w:val="0"/>
        <w:adjustRightInd w:val="0"/>
        <w:spacing w:after="0" w:line="240" w:lineRule="auto"/>
        <w:jc w:val="both"/>
        <w:rPr>
          <w:rFonts w:ascii="Adobe Garamond Pro" w:eastAsia="MS Mincho" w:hAnsi="Adobe Garamond Pro"/>
          <w:sz w:val="20"/>
          <w:szCs w:val="20"/>
          <w:lang w:eastAsia="ja-JP" w:bidi="ta-IN"/>
        </w:rPr>
      </w:pPr>
      <w:r>
        <w:rPr>
          <w:rFonts w:ascii="Adobe Garamond Pro" w:hAnsi="Adobe Garamond Pro"/>
          <w:sz w:val="20"/>
          <w:szCs w:val="20"/>
        </w:rPr>
        <w:tab/>
      </w:r>
      <w:r w:rsidRPr="004000A8">
        <w:rPr>
          <w:rFonts w:ascii="Adobe Garamond Pro" w:hAnsi="Adobe Garamond Pro"/>
          <w:sz w:val="20"/>
          <w:szCs w:val="20"/>
        </w:rPr>
        <w:t xml:space="preserve">Nasuprot tome, formirana su dodatna policijska tijela, bez nadležnosti i ovlaštenja koja pripadaju policiji državnog nivoa, čime opća sigurnost nije poboljšana. U </w:t>
      </w:r>
      <w:r w:rsidRPr="004000A8">
        <w:rPr>
          <w:rFonts w:ascii="Adobe Garamond Pro" w:eastAsia="MS Mincho" w:hAnsi="Adobe Garamond Pro"/>
          <w:sz w:val="20"/>
          <w:szCs w:val="20"/>
          <w:lang w:eastAsia="ja-JP" w:bidi="ta-IN"/>
        </w:rPr>
        <w:t xml:space="preserve">prijelaznim i završnim odredbama, Zakona </w:t>
      </w:r>
      <w:r w:rsidRPr="004000A8">
        <w:rPr>
          <w:rFonts w:ascii="Adobe Garamond Pro" w:hAnsi="Adobe Garamond Pro"/>
          <w:sz w:val="20"/>
          <w:szCs w:val="20"/>
        </w:rPr>
        <w:t xml:space="preserve">o Direkciji za koordinaciju policijskih tijela, </w:t>
      </w:r>
      <w:r w:rsidRPr="004000A8">
        <w:rPr>
          <w:rFonts w:ascii="Adobe Garamond Pro" w:eastAsia="MS Mincho" w:hAnsi="Adobe Garamond Pro"/>
          <w:sz w:val="20"/>
          <w:szCs w:val="20"/>
          <w:lang w:eastAsia="ja-JP" w:bidi="ta-IN"/>
        </w:rPr>
        <w:t>propisano je usklađivanje zakona na način da “</w:t>
      </w:r>
      <w:r w:rsidRPr="004000A8">
        <w:rPr>
          <w:rFonts w:ascii="Adobe Garamond Pro" w:eastAsia="MS Mincho" w:hAnsi="Adobe Garamond Pro"/>
          <w:i/>
          <w:sz w:val="20"/>
          <w:szCs w:val="20"/>
          <w:lang w:eastAsia="ja-JP" w:bidi="ta-IN"/>
        </w:rPr>
        <w:t>odgovarajuća pitanja odnosa između tijela osnovanih ovim Zakonom i lokalnih policijskih tijela te ostali detalji policijske strukture bit će regulirani nakon reforme Ustava BiH, u skladu s tri principa Evropske komisije, i to u dva osnovna zakona: Zakonu o policijskoj službi Bosne i Hercegovine i Zakonu o policijskim službenicima Bosne i Hercegovine.”</w:t>
      </w:r>
      <w:r w:rsidRPr="004000A8">
        <w:rPr>
          <w:rStyle w:val="FootnoteReference"/>
          <w:rFonts w:ascii="Adobe Garamond Pro" w:eastAsia="MS Mincho" w:hAnsi="Adobe Garamond Pro"/>
          <w:sz w:val="20"/>
          <w:szCs w:val="20"/>
          <w:lang w:eastAsia="ja-JP" w:bidi="ta-IN"/>
        </w:rPr>
        <w:footnoteReference w:id="14"/>
      </w:r>
      <w:r w:rsidRPr="004000A8">
        <w:rPr>
          <w:rFonts w:ascii="Adobe Garamond Pro" w:eastAsia="MS Mincho" w:hAnsi="Adobe Garamond Pro"/>
          <w:i/>
          <w:sz w:val="20"/>
          <w:szCs w:val="20"/>
          <w:lang w:eastAsia="ja-JP" w:bidi="ta-IN"/>
        </w:rPr>
        <w:t xml:space="preserve"> </w:t>
      </w:r>
      <w:r w:rsidRPr="004000A8">
        <w:rPr>
          <w:rFonts w:ascii="Adobe Garamond Pro" w:eastAsia="MS Mincho" w:hAnsi="Adobe Garamond Pro"/>
          <w:sz w:val="20"/>
          <w:szCs w:val="20"/>
          <w:lang w:eastAsia="ja-JP" w:bidi="ta-IN"/>
        </w:rPr>
        <w:t>Ovim Zakonom je propisano da će buduća struktura jedinstvenih policijskih snaga BiH odgovarati ustavnoj strukturi zemlje i da će bit usvojena najkasnije godinu dana nakon usvajanja Ustava BiH.</w:t>
      </w:r>
    </w:p>
    <w:p w:rsidR="004000A8" w:rsidRPr="004000A8" w:rsidRDefault="004000A8" w:rsidP="004000A8">
      <w:pPr>
        <w:autoSpaceDE w:val="0"/>
        <w:autoSpaceDN w:val="0"/>
        <w:adjustRightInd w:val="0"/>
        <w:spacing w:after="0" w:line="240" w:lineRule="auto"/>
        <w:jc w:val="both"/>
        <w:rPr>
          <w:rFonts w:ascii="Adobe Garamond Pro" w:eastAsia="MS Mincho" w:hAnsi="Adobe Garamond Pro"/>
          <w:sz w:val="20"/>
          <w:szCs w:val="20"/>
          <w:lang w:eastAsia="ja-JP" w:bidi="ta-IN"/>
        </w:rPr>
      </w:pPr>
    </w:p>
    <w:p w:rsidR="004000A8" w:rsidRDefault="004000A8" w:rsidP="004000A8">
      <w:pPr>
        <w:spacing w:after="0" w:line="240" w:lineRule="auto"/>
        <w:ind w:firstLine="720"/>
        <w:jc w:val="both"/>
        <w:rPr>
          <w:rFonts w:ascii="Adobe Garamond Pro" w:hAnsi="Adobe Garamond Pro"/>
          <w:sz w:val="20"/>
          <w:szCs w:val="20"/>
        </w:rPr>
      </w:pPr>
      <w:r w:rsidRPr="004000A8">
        <w:rPr>
          <w:rFonts w:ascii="Adobe Garamond Pro" w:eastAsia="MS Mincho" w:hAnsi="Adobe Garamond Pro"/>
          <w:sz w:val="20"/>
          <w:szCs w:val="20"/>
          <w:lang w:eastAsia="ja-JP" w:bidi="ta-IN"/>
        </w:rPr>
        <w:t xml:space="preserve">U vrijeme kada se na sigurnosne prijetnje i izazove, bez obzira na njihovu jačinu i intenzitet, djeluje na globalnom nivou, ovako partikularan sigurnosni okvir u BiH nema kapaciteta stvaranja adekvatnog sigurnosnog ambijenta. Posebno otežavajuća okolnost, ali i obaveza u izgradnji adekvatnog sigurnsonog miljea, kako za domaće tako i za garante Daytonskog sporazuma, jeste hipoteka skore bosanskohercegovačke prošlosti. Etiketu te hipoteke, sigurno je verificirala Odluka Međunarodnog suda pravde u Hagu </w:t>
      </w:r>
      <w:r w:rsidRPr="004000A8">
        <w:rPr>
          <w:rFonts w:ascii="Adobe Garamond Pro" w:hAnsi="Adobe Garamond Pro"/>
          <w:sz w:val="20"/>
          <w:szCs w:val="20"/>
        </w:rPr>
        <w:t>od 26. februara 2007. godine</w:t>
      </w:r>
      <w:r w:rsidRPr="004000A8">
        <w:rPr>
          <w:rFonts w:ascii="Adobe Garamond Pro" w:eastAsia="MS Mincho" w:hAnsi="Adobe Garamond Pro"/>
          <w:sz w:val="20"/>
          <w:szCs w:val="20"/>
          <w:lang w:eastAsia="ja-JP" w:bidi="ta-IN"/>
        </w:rPr>
        <w:t xml:space="preserve">, gdje se u tačci 293., </w:t>
      </w:r>
      <w:r w:rsidRPr="004000A8">
        <w:rPr>
          <w:rFonts w:ascii="Adobe Garamond Pro" w:hAnsi="Adobe Garamond Pro"/>
          <w:sz w:val="20"/>
          <w:szCs w:val="20"/>
        </w:rPr>
        <w:t xml:space="preserve">a pozivajući se na drugostepenu presudu Međunarodnog krivičnog suda za područje bivše Jugoslavije u Hagu (generalu Vojske Republike Srpske Radislavu Krstiću), identifikuju i </w:t>
      </w:r>
      <w:r w:rsidRPr="004000A8">
        <w:rPr>
          <w:rFonts w:ascii="Adobe Garamond Pro" w:eastAsia="MS Mincho" w:hAnsi="Adobe Garamond Pro"/>
          <w:sz w:val="20"/>
          <w:szCs w:val="20"/>
          <w:lang w:eastAsia="ja-JP" w:bidi="ta-IN"/>
        </w:rPr>
        <w:t>označavaju “snage bosanskih Srba”</w:t>
      </w:r>
      <w:r w:rsidRPr="004000A8">
        <w:rPr>
          <w:rStyle w:val="FootnoteReference"/>
          <w:rFonts w:ascii="Adobe Garamond Pro" w:eastAsia="MS Mincho" w:hAnsi="Adobe Garamond Pro"/>
          <w:sz w:val="20"/>
          <w:szCs w:val="20"/>
          <w:lang w:eastAsia="ja-JP" w:bidi="ta-IN"/>
        </w:rPr>
        <w:footnoteReference w:id="15"/>
      </w:r>
      <w:r w:rsidRPr="004000A8">
        <w:rPr>
          <w:rFonts w:ascii="Adobe Garamond Pro" w:eastAsia="MS Mincho" w:hAnsi="Adobe Garamond Pro"/>
          <w:sz w:val="20"/>
          <w:szCs w:val="20"/>
          <w:lang w:eastAsia="ja-JP" w:bidi="ta-IN"/>
        </w:rPr>
        <w:t xml:space="preserve">, </w:t>
      </w:r>
      <w:r w:rsidRPr="004000A8">
        <w:rPr>
          <w:rFonts w:ascii="Adobe Garamond Pro" w:hAnsi="Adobe Garamond Pro"/>
          <w:sz w:val="20"/>
          <w:szCs w:val="20"/>
        </w:rPr>
        <w:t>kao počinitelji genocida u Bosni i Hercegovini.</w:t>
      </w:r>
    </w:p>
    <w:p w:rsidR="004000A8" w:rsidRPr="004000A8" w:rsidRDefault="004000A8" w:rsidP="004000A8">
      <w:pPr>
        <w:spacing w:after="0" w:line="240" w:lineRule="auto"/>
        <w:ind w:firstLine="720"/>
        <w:jc w:val="both"/>
        <w:rPr>
          <w:rFonts w:ascii="Adobe Garamond Pro" w:eastAsia="MS Mincho" w:hAnsi="Adobe Garamond Pro"/>
          <w:sz w:val="20"/>
          <w:szCs w:val="20"/>
          <w:lang w:eastAsia="ja-JP" w:bidi="ta-IN"/>
        </w:rPr>
      </w:pPr>
    </w:p>
    <w:p w:rsidR="004000A8" w:rsidRDefault="004000A8" w:rsidP="004000A8">
      <w:pPr>
        <w:spacing w:after="0" w:line="240" w:lineRule="auto"/>
        <w:ind w:firstLine="720"/>
        <w:jc w:val="both"/>
        <w:rPr>
          <w:rFonts w:ascii="Adobe Garamond Pro" w:hAnsi="Adobe Garamond Pro"/>
          <w:sz w:val="20"/>
          <w:szCs w:val="20"/>
          <w:lang w:eastAsia="bs-Latn-BA"/>
        </w:rPr>
      </w:pPr>
      <w:r w:rsidRPr="004000A8">
        <w:rPr>
          <w:rFonts w:ascii="Adobe Garamond Pro" w:hAnsi="Adobe Garamond Pro"/>
          <w:sz w:val="20"/>
          <w:szCs w:val="20"/>
          <w:shd w:val="clear" w:color="auto" w:fill="FFFFFF"/>
        </w:rPr>
        <w:t xml:space="preserve">Dodatnu složenost izgradnje sigurnosnih struktura komplikuje i ne izvršavanje </w:t>
      </w:r>
      <w:r w:rsidRPr="004000A8">
        <w:rPr>
          <w:rFonts w:ascii="Adobe Garamond Pro" w:eastAsia="MS Mincho" w:hAnsi="Adobe Garamond Pro"/>
          <w:sz w:val="20"/>
          <w:szCs w:val="20"/>
          <w:lang w:eastAsia="ja-JP" w:bidi="ta-IN"/>
        </w:rPr>
        <w:t xml:space="preserve">Odluke Ustavnog suda BiH iz jula 2000. godine, kojom se od dva entiteta traži da izmijene svoje ustave kako bi se osigurala puna ravnopravnost tri “konstitutivna naroda” na čitavom području BiH. U članu IV Sporazuma o provedbi Odluke Ustavnog suda BiH o konstitutivnosti naroda, definisana je razmjerna zastupljenost u svim javnim tijelima vlasti, uključujući i sudove, i to kao ustavnom načelu, da će se razmjerna zastupljenost konstitutivnih naroda i ostalih, temeljiti na rezultatima Popisa stanovništva iz 1991. godine, dok se Aneks 7. Daytonskog sporazuma u potpunosti ne provede. Tako bi prema navedenoj Odluci Ustavnog suda BiH, u </w:t>
      </w:r>
      <w:r w:rsidRPr="004000A8">
        <w:rPr>
          <w:rFonts w:ascii="Adobe Garamond Pro" w:hAnsi="Adobe Garamond Pro"/>
          <w:bCs/>
          <w:kern w:val="36"/>
          <w:sz w:val="20"/>
          <w:szCs w:val="20"/>
          <w:lang w:eastAsia="bs-Latn-BA"/>
        </w:rPr>
        <w:t xml:space="preserve">Ministarstvu unutrašnjih poslova entiteta Republika Srpska (dalje MUP RS) trebalo biti 55,43% onih koji se izjašnjavaju kao Srbi, 28,08% onih koji se izjašnjavaju kao Bošnjaci, 9,2% onih koji se izjašnjavaju kao Hrvati i 6,7% onih koji se ne izjašnjavaju da su pripadnici konstitutivnih naroda u BiH. Međutim, prema odgovoru na </w:t>
      </w:r>
      <w:r w:rsidRPr="004000A8">
        <w:rPr>
          <w:rFonts w:ascii="Adobe Garamond Pro" w:hAnsi="Adobe Garamond Pro"/>
          <w:bCs/>
          <w:kern w:val="36"/>
          <w:sz w:val="20"/>
          <w:szCs w:val="20"/>
          <w:lang w:eastAsia="bs-Latn-BA"/>
        </w:rPr>
        <w:lastRenderedPageBreak/>
        <w:t xml:space="preserve">poslaničko pitanje Senada Bratića, postavljenog </w:t>
      </w:r>
      <w:r w:rsidRPr="004000A8">
        <w:rPr>
          <w:rFonts w:ascii="Adobe Garamond Pro" w:hAnsi="Adobe Garamond Pro"/>
          <w:sz w:val="20"/>
          <w:szCs w:val="20"/>
          <w:lang w:eastAsia="bs-Latn-BA"/>
        </w:rPr>
        <w:t xml:space="preserve">na Dvadeset osmoj sjednici Parlamentarne skupštine RS-a, koja je održana 25. juna 2013. godine, o nacionalnoj zastupljenosti uposlenih u MUP-u RS-a, počev od policijskih stanica, preko centara bezbjednosti do vrha Ministarstva, prema odgovoru tadašnjeg Ministra MUP-a </w:t>
      </w:r>
      <w:r w:rsidRPr="004000A8">
        <w:rPr>
          <w:rStyle w:val="Strong"/>
          <w:rFonts w:ascii="Adobe Garamond Pro" w:hAnsi="Adobe Garamond Pro"/>
          <w:b w:val="0"/>
          <w:sz w:val="20"/>
          <w:szCs w:val="20"/>
        </w:rPr>
        <w:t>Radislava Jovičića;</w:t>
      </w:r>
      <w:r w:rsidRPr="004000A8">
        <w:rPr>
          <w:rStyle w:val="Strong"/>
          <w:rFonts w:ascii="Adobe Garamond Pro" w:hAnsi="Adobe Garamond Pro"/>
          <w:sz w:val="20"/>
          <w:szCs w:val="20"/>
        </w:rPr>
        <w:t xml:space="preserve"> „</w:t>
      </w:r>
      <w:r w:rsidRPr="004000A8">
        <w:rPr>
          <w:rFonts w:ascii="Adobe Garamond Pro" w:hAnsi="Adobe Garamond Pro"/>
          <w:i/>
          <w:sz w:val="20"/>
          <w:szCs w:val="20"/>
          <w:lang w:eastAsia="bs-Latn-BA"/>
        </w:rPr>
        <w:t>U Ministarstvu unutrašnjih poslova Republike Srpske od 6832 zaposlena, 498 ili 7,36% su pripadnici nesrpske nacionalnosti, odnosno 381 ili 5,56% Bošnjaka, 75 ili 1,09% Hrvata i 42 ili 0,6% pripadnika drugih nacionalnosti“</w:t>
      </w:r>
      <w:r w:rsidRPr="004000A8">
        <w:rPr>
          <w:rStyle w:val="FootnoteReference"/>
          <w:rFonts w:ascii="Adobe Garamond Pro" w:hAnsi="Adobe Garamond Pro"/>
          <w:i/>
          <w:sz w:val="20"/>
          <w:szCs w:val="20"/>
          <w:lang w:eastAsia="bs-Latn-BA"/>
        </w:rPr>
        <w:footnoteReference w:id="16"/>
      </w:r>
      <w:r w:rsidRPr="004000A8">
        <w:rPr>
          <w:rFonts w:ascii="Adobe Garamond Pro" w:hAnsi="Adobe Garamond Pro"/>
          <w:i/>
          <w:sz w:val="20"/>
          <w:szCs w:val="20"/>
          <w:lang w:eastAsia="bs-Latn-BA"/>
        </w:rPr>
        <w:t xml:space="preserve"> </w:t>
      </w:r>
      <w:r w:rsidRPr="004000A8">
        <w:rPr>
          <w:rFonts w:ascii="Adobe Garamond Pro" w:hAnsi="Adobe Garamond Pro"/>
          <w:sz w:val="20"/>
          <w:szCs w:val="20"/>
          <w:lang w:eastAsia="bs-Latn-BA"/>
        </w:rPr>
        <w:t xml:space="preserve">Znači popunjenost MUP-a RS-a nije u skladu sa Odlukom o konstitutivnosti naroda. </w:t>
      </w:r>
    </w:p>
    <w:p w:rsidR="004000A8" w:rsidRPr="004000A8" w:rsidRDefault="004000A8" w:rsidP="004000A8">
      <w:pPr>
        <w:spacing w:after="0" w:line="240" w:lineRule="auto"/>
        <w:ind w:firstLine="720"/>
        <w:jc w:val="both"/>
        <w:rPr>
          <w:rFonts w:ascii="Adobe Garamond Pro" w:hAnsi="Adobe Garamond Pro"/>
          <w:sz w:val="20"/>
          <w:szCs w:val="20"/>
          <w:lang w:eastAsia="bs-Latn-BA"/>
        </w:rPr>
      </w:pPr>
    </w:p>
    <w:p w:rsidR="004000A8" w:rsidRPr="004000A8" w:rsidRDefault="004000A8" w:rsidP="004000A8">
      <w:pPr>
        <w:spacing w:after="0" w:line="240" w:lineRule="auto"/>
        <w:ind w:firstLine="720"/>
        <w:jc w:val="both"/>
        <w:rPr>
          <w:rFonts w:ascii="Adobe Garamond Pro" w:hAnsi="Adobe Garamond Pro"/>
          <w:sz w:val="20"/>
          <w:szCs w:val="20"/>
        </w:rPr>
      </w:pPr>
      <w:r w:rsidRPr="004000A8">
        <w:rPr>
          <w:rFonts w:ascii="Adobe Garamond Pro" w:hAnsi="Adobe Garamond Pro"/>
          <w:sz w:val="20"/>
          <w:szCs w:val="20"/>
        </w:rPr>
        <w:t>U provedbi ustava kreativno sudjeluju državna tijela, dužnosnici i sami građani, među kojima ima, određen broj (sa)učesnika ratnih zločina, koji će svojim tumačenjem (interpretacijom) ustavnih normi u konkretnim životnim situacijama implementirati ustavne odredbe, ali i one koje se odnose na sigurnost i ljudska prava i slobode. Stim u vezi v</w:t>
      </w:r>
      <w:r w:rsidRPr="004000A8">
        <w:rPr>
          <w:rFonts w:ascii="Adobe Garamond Pro" w:hAnsi="Adobe Garamond Pro"/>
          <w:sz w:val="20"/>
          <w:szCs w:val="20"/>
          <w:shd w:val="clear" w:color="auto" w:fill="FFFFFF"/>
        </w:rPr>
        <w:t xml:space="preserve">ječno će ostati dilema zašto iz entitetskih struktura nisu odstranjene one političke snage koje su provodile ideje „velikih država“ i započele rat, zašto se nisu odstranili pojedinci koji su učestvovali u ratnim zločinima, onako kako je izvršena denacifikacija u Njemačkoj nakon Drugog svjetskog rata. Takve snage i takvi pojedinci nisu pogodovali implementaciji Daytonskog sporazuma, posebno Aneksa 7., ali i implementaciji i zaštiti osnovnih ljudskih prava i sloboda. </w:t>
      </w:r>
    </w:p>
    <w:p w:rsidR="004000A8" w:rsidRPr="004000A8" w:rsidRDefault="004000A8" w:rsidP="004000A8">
      <w:pPr>
        <w:spacing w:after="0" w:line="240" w:lineRule="auto"/>
        <w:jc w:val="both"/>
        <w:rPr>
          <w:rFonts w:ascii="Adobe Garamond Pro" w:hAnsi="Adobe Garamond Pro"/>
          <w:b/>
          <w:bCs/>
          <w:sz w:val="20"/>
          <w:szCs w:val="20"/>
        </w:rPr>
      </w:pPr>
    </w:p>
    <w:p w:rsidR="004000A8" w:rsidRPr="004000A8" w:rsidRDefault="004000A8" w:rsidP="004000A8">
      <w:pPr>
        <w:spacing w:after="0" w:line="240" w:lineRule="auto"/>
        <w:jc w:val="both"/>
        <w:rPr>
          <w:rFonts w:ascii="Adobe Garamond Pro" w:hAnsi="Adobe Garamond Pro"/>
          <w:b/>
          <w:bCs/>
        </w:rPr>
      </w:pPr>
      <w:r w:rsidRPr="004000A8">
        <w:rPr>
          <w:rFonts w:ascii="Adobe Garamond Pro" w:hAnsi="Adobe Garamond Pro"/>
          <w:b/>
          <w:bCs/>
        </w:rPr>
        <w:t>Razvoj Bosne i Hercegovine</w:t>
      </w:r>
    </w:p>
    <w:p w:rsidR="004000A8" w:rsidRPr="004000A8" w:rsidRDefault="004000A8" w:rsidP="004000A8">
      <w:pPr>
        <w:spacing w:after="0" w:line="240" w:lineRule="auto"/>
        <w:jc w:val="both"/>
        <w:rPr>
          <w:rFonts w:ascii="Adobe Garamond Pro" w:hAnsi="Adobe Garamond Pro"/>
          <w:sz w:val="20"/>
          <w:szCs w:val="20"/>
        </w:rPr>
      </w:pPr>
    </w:p>
    <w:p w:rsidR="004000A8" w:rsidRPr="004000A8" w:rsidRDefault="004000A8" w:rsidP="004000A8">
      <w:pPr>
        <w:spacing w:after="0" w:line="240" w:lineRule="auto"/>
        <w:ind w:firstLine="720"/>
        <w:jc w:val="both"/>
        <w:rPr>
          <w:rFonts w:ascii="Adobe Garamond Pro" w:hAnsi="Adobe Garamond Pro"/>
          <w:sz w:val="20"/>
          <w:szCs w:val="20"/>
        </w:rPr>
      </w:pPr>
      <w:r w:rsidRPr="004000A8">
        <w:rPr>
          <w:rFonts w:ascii="Adobe Garamond Pro" w:hAnsi="Adobe Garamond Pro"/>
          <w:sz w:val="20"/>
          <w:szCs w:val="20"/>
        </w:rPr>
        <w:t xml:space="preserve">Tokom rata protiv Bosne i Hercegovine, izražena je obimna količina nasilja, specifična po razaranju gradova, privrednih subjekata, infrastrukture, što je otežalo izradu procjene direktne ratne štete u BiH. Prema preliminarnim istraživanjima, istraživača Instituta za istraživanje ratnih zločina Univerziteta u Sarajevu, visina direktne ratne štete u BiH procjenjuje se na 240 milijardi KM, bez dodatka o iznosu procjene indirektne štete. Ova procjena rađena je na osnovu procijenjene direktne ratne štete za područje Sarajeva, koja je rađena na osnovu jedinstvene međunarodno priznate metodologije. Tako je prema podacima Duljke Hasića, stručnjaka koji je vodio projekat nešto duže od deset godina, za područje Sarajeva, procijenjena direktna ratna šteta na 28 milijardi KM, pri čemu nisu uvrštene štete svih privrednih subjekata i pojedinca, ali je oko 80 posto toga evidentirano. Nakon teških ratnih razaranja očekivala se reparacija i ubrzan razvoj BiH. Međutim BiH je inficirana „donatorskim sindromom“, dok su investicije kojim bi se otvorila nova radna mjesta u proizvodnji izostale. Skoro svi segmenti razvoja u BiH su paralizovani. Jedan od razloga je i Daytonski Ustav koji nije doprinio normalizaciji odnosa u BiH, naprotiv Ustav u sebi sadrži odrednice koje održavaju u životu ratne motive. Ustavi se pišu "kako bi... uspostavili pravdu, ostvarili mir u zemlji, osigurali zajedničku odbranu, unaprijedili opću dobrobit i očuvali </w:t>
      </w:r>
      <w:r w:rsidRPr="004000A8">
        <w:rPr>
          <w:rFonts w:ascii="Adobe Garamond Pro" w:hAnsi="Adobe Garamond Pro"/>
          <w:sz w:val="20"/>
          <w:szCs w:val="20"/>
        </w:rPr>
        <w:lastRenderedPageBreak/>
        <w:t>blagoslov slobode za nas i za naše potomstvo."</w:t>
      </w:r>
      <w:r w:rsidRPr="004000A8">
        <w:rPr>
          <w:rStyle w:val="FootnoteReference"/>
          <w:rFonts w:ascii="Adobe Garamond Pro" w:hAnsi="Adobe Garamond Pro"/>
          <w:sz w:val="20"/>
          <w:szCs w:val="20"/>
        </w:rPr>
        <w:footnoteReference w:id="17"/>
      </w:r>
      <w:r w:rsidRPr="004000A8">
        <w:rPr>
          <w:rFonts w:ascii="Adobe Garamond Pro" w:hAnsi="Adobe Garamond Pro"/>
          <w:sz w:val="20"/>
          <w:szCs w:val="20"/>
        </w:rPr>
        <w:t xml:space="preserve"> Nažalost, nauka se u Daytonu nije puno pitala. Donošenjem Daytonskog sporazuma započinje proces njegove provedbe, kojim se riječi zapisane u Aneksu IV trebaju implementirati u svakodnevnom životu. Pri tome se ne radi o logičkoj dedukciji rješenja iz savršeno usklađenog sistema hijerarhijski poredanih normi, već o kreativnoj djelatnosti, pri kojoj moramo biti svjesni utjecaja političke kulture, vlasti i politike</w:t>
      </w:r>
      <w:r w:rsidRPr="004000A8">
        <w:rPr>
          <w:rStyle w:val="FootnoteReference"/>
          <w:rFonts w:ascii="Adobe Garamond Pro" w:hAnsi="Adobe Garamond Pro"/>
          <w:sz w:val="20"/>
          <w:szCs w:val="20"/>
        </w:rPr>
        <w:footnoteReference w:id="18"/>
      </w:r>
      <w:r w:rsidRPr="004000A8">
        <w:rPr>
          <w:rFonts w:ascii="Adobe Garamond Pro" w:hAnsi="Adobe Garamond Pro"/>
          <w:sz w:val="20"/>
          <w:szCs w:val="20"/>
        </w:rPr>
        <w:t xml:space="preserve">, ali i posljedica ratnih zlolčina. </w:t>
      </w:r>
    </w:p>
    <w:p w:rsidR="004000A8" w:rsidRPr="004000A8" w:rsidRDefault="004000A8" w:rsidP="004000A8">
      <w:pPr>
        <w:spacing w:after="0" w:line="240" w:lineRule="auto"/>
        <w:jc w:val="both"/>
        <w:rPr>
          <w:rFonts w:ascii="Adobe Garamond Pro" w:hAnsi="Adobe Garamond Pro"/>
          <w:sz w:val="20"/>
          <w:szCs w:val="20"/>
        </w:rPr>
      </w:pPr>
    </w:p>
    <w:p w:rsidR="004000A8" w:rsidRPr="004000A8" w:rsidRDefault="004000A8" w:rsidP="004000A8">
      <w:pPr>
        <w:spacing w:after="0" w:line="240" w:lineRule="auto"/>
        <w:jc w:val="both"/>
        <w:rPr>
          <w:rFonts w:ascii="Adobe Garamond Pro" w:hAnsi="Adobe Garamond Pro"/>
          <w:b/>
        </w:rPr>
      </w:pPr>
      <w:r w:rsidRPr="004000A8">
        <w:rPr>
          <w:rFonts w:ascii="Adobe Garamond Pro" w:hAnsi="Adobe Garamond Pro"/>
          <w:b/>
        </w:rPr>
        <w:t>ZAKLJUČAK: „Zlatni trougao: ljudska prava i slobode - sigurnost - razvoj“</w:t>
      </w:r>
    </w:p>
    <w:p w:rsidR="004000A8" w:rsidRPr="004000A8" w:rsidRDefault="004000A8" w:rsidP="004000A8">
      <w:pPr>
        <w:spacing w:after="0" w:line="240" w:lineRule="auto"/>
        <w:jc w:val="both"/>
        <w:rPr>
          <w:rFonts w:ascii="Adobe Garamond Pro" w:hAnsi="Adobe Garamond Pro"/>
          <w:b/>
          <w:sz w:val="20"/>
          <w:szCs w:val="20"/>
        </w:rPr>
      </w:pPr>
    </w:p>
    <w:p w:rsidR="004000A8" w:rsidRDefault="004000A8" w:rsidP="004000A8">
      <w:pPr>
        <w:spacing w:after="0" w:line="240" w:lineRule="auto"/>
        <w:ind w:firstLine="720"/>
        <w:jc w:val="both"/>
        <w:rPr>
          <w:rFonts w:ascii="Adobe Garamond Pro" w:hAnsi="Adobe Garamond Pro"/>
          <w:sz w:val="20"/>
          <w:szCs w:val="20"/>
        </w:rPr>
      </w:pPr>
      <w:r w:rsidRPr="004000A8">
        <w:rPr>
          <w:rFonts w:ascii="Adobe Garamond Pro" w:hAnsi="Adobe Garamond Pro"/>
          <w:sz w:val="20"/>
          <w:szCs w:val="20"/>
        </w:rPr>
        <w:t xml:space="preserve">Ljudska prava i slobode u ovako postavljenom ustavnom okviru, za koji je i Evropski sud za ljudska prava u Strazburu zaključio da je diskriminatoran, jer </w:t>
      </w:r>
      <w:r w:rsidRPr="004000A8">
        <w:rPr>
          <w:rFonts w:ascii="Adobe Garamond Pro" w:hAnsi="Adobe Garamond Pro"/>
          <w:sz w:val="20"/>
          <w:szCs w:val="20"/>
          <w:shd w:val="clear" w:color="auto" w:fill="FFFFFF"/>
        </w:rPr>
        <w:t>pravi razlika među ljudima „bez razumnog i objektivnog opravdanja“,</w:t>
      </w:r>
      <w:r w:rsidRPr="004000A8">
        <w:rPr>
          <w:rFonts w:ascii="Adobe Garamond Pro" w:hAnsi="Adobe Garamond Pro"/>
          <w:sz w:val="20"/>
          <w:szCs w:val="20"/>
        </w:rPr>
        <w:t xml:space="preserve"> teško je mjeriti napredak u implementaciji ljudskih prava i sloboda. Istovremeno BiH sa ovako postavljenom sigurnosnom strukturom nije imuna na sigurnosne prijetnje, posebno korupciju i kriminal. Prema istraživanjima </w:t>
      </w:r>
      <w:r w:rsidRPr="004000A8">
        <w:rPr>
          <w:rFonts w:ascii="Adobe Garamond Pro" w:hAnsi="Adobe Garamond Pro"/>
          <w:sz w:val="20"/>
          <w:szCs w:val="20"/>
          <w:shd w:val="clear" w:color="auto" w:fill="FFFFFF"/>
        </w:rPr>
        <w:t>Transparency International</w:t>
      </w:r>
      <w:r w:rsidRPr="004000A8">
        <w:rPr>
          <w:rStyle w:val="FootnoteReference"/>
          <w:rFonts w:ascii="Adobe Garamond Pro" w:hAnsi="Adobe Garamond Pro"/>
          <w:sz w:val="20"/>
          <w:szCs w:val="20"/>
        </w:rPr>
        <w:footnoteReference w:id="19"/>
      </w:r>
      <w:r w:rsidRPr="004000A8">
        <w:rPr>
          <w:rFonts w:ascii="Adobe Garamond Pro" w:hAnsi="Adobe Garamond Pro"/>
          <w:sz w:val="20"/>
          <w:szCs w:val="20"/>
        </w:rPr>
        <w:t xml:space="preserve"> percepcija korupcije u BiH je ocijenjena vrlo visokim indeksom, što nagriza sistem sigurnosti ali i cijelo društvo. Strani investitori nisu spremni na ulaganja u područja koja nisu sigurnosno stabilna, dok domaći kapaciteti ne pokazuju želju da se uhvate u koštac sa problemima kako bi smanjili broj nezaposlenih, kojih ima nešto više od pola miliona, u Državi koja ima 3,7 miliona stanovnika. Ovako stanje implicira loše ekonomsko i socijalno stanje velikog broja stanovništva. </w:t>
      </w:r>
    </w:p>
    <w:p w:rsidR="00E85604" w:rsidRPr="004000A8" w:rsidRDefault="00E85604" w:rsidP="004000A8">
      <w:pPr>
        <w:spacing w:after="0" w:line="240" w:lineRule="auto"/>
        <w:ind w:firstLine="720"/>
        <w:jc w:val="both"/>
        <w:rPr>
          <w:rFonts w:ascii="Adobe Garamond Pro" w:hAnsi="Adobe Garamond Pro"/>
          <w:sz w:val="20"/>
          <w:szCs w:val="20"/>
        </w:rPr>
      </w:pPr>
    </w:p>
    <w:p w:rsidR="004000A8" w:rsidRDefault="004000A8" w:rsidP="004000A8">
      <w:pPr>
        <w:spacing w:after="0" w:line="240" w:lineRule="auto"/>
        <w:ind w:firstLine="720"/>
        <w:jc w:val="both"/>
        <w:rPr>
          <w:rFonts w:ascii="Adobe Garamond Pro" w:hAnsi="Adobe Garamond Pro"/>
          <w:sz w:val="20"/>
          <w:szCs w:val="20"/>
        </w:rPr>
      </w:pPr>
      <w:r w:rsidRPr="004000A8">
        <w:rPr>
          <w:rFonts w:ascii="Adobe Garamond Pro" w:hAnsi="Adobe Garamond Pro"/>
          <w:sz w:val="20"/>
          <w:szCs w:val="20"/>
        </w:rPr>
        <w:t xml:space="preserve">Za razvoj društva u cjelini nephodno je adekvatno sigurnosno okruženje, a za razvoj adekvatnih sigurnosnih struktura potreban je određen stepen društveno ekonomskog razvoja društva. Bez sigurnosti nema razvoja društva u cjelini, a bez razvoja nema dobre sigurnosti. U slučaju BiH za razvoj adekvatne sigurnosne strukture prvo su potrebne normativne predpostavke kojima bi se uspostavila jedinstvena policijska struktura Bosne i Hercegovine, sa jedinstvenim lancom komande i kontrole. Domaći političari su pokazali da nisu spremni da to učine, zato je potrebna intervencija međunarodne zajednice kako bi se izgradio i uspostavio efikasan i ekonomičan sistem sigurnosti u BiH, koji bi uključivao i efikasan sistem borbe protiv korupcije. Kao što je već spomenuto da bi se konstituirala policija po principima EU, čekaju se korekcije Ustava, a prema Mirku Pejanoviću, „da bi se reforma Ustava BiH odvijala uspješno, nužno je posuditi moć za izgradnju konsenzusa vladajućih stranaka. Tu moć ima </w:t>
      </w:r>
      <w:r w:rsidRPr="004000A8">
        <w:rPr>
          <w:rFonts w:ascii="Adobe Garamond Pro" w:hAnsi="Adobe Garamond Pro"/>
          <w:sz w:val="20"/>
          <w:szCs w:val="20"/>
        </w:rPr>
        <w:lastRenderedPageBreak/>
        <w:t>međunarodna zajednica na osnovu ovlaštenja za provođenje Daytonskog mirovnog sporazuma.“</w:t>
      </w:r>
      <w:bookmarkStart w:id="1" w:name="sdfootnote10anc"/>
      <w:r w:rsidRPr="004000A8">
        <w:rPr>
          <w:rStyle w:val="FootnoteReference"/>
          <w:rFonts w:ascii="Adobe Garamond Pro" w:hAnsi="Adobe Garamond Pro"/>
          <w:sz w:val="20"/>
          <w:szCs w:val="20"/>
        </w:rPr>
        <w:footnoteReference w:id="20"/>
      </w:r>
      <w:bookmarkEnd w:id="1"/>
      <w:r w:rsidRPr="004000A8">
        <w:rPr>
          <w:rFonts w:ascii="Adobe Garamond Pro" w:hAnsi="Adobe Garamond Pro"/>
          <w:sz w:val="20"/>
          <w:szCs w:val="20"/>
        </w:rPr>
        <w:t xml:space="preserve"> Sličnog je razmišljanja i nekadašnji Visoki predstavniku, Christian Schwarce Schilling, koji navodi da su „političari u Bosni Daytonskim sporazumom, koji utvrđuje </w:t>
      </w:r>
      <w:r w:rsidRPr="004000A8">
        <w:rPr>
          <w:rFonts w:ascii="Adobe Garamond Pro" w:hAnsi="Adobe Garamond Pro"/>
          <w:i/>
          <w:sz w:val="20"/>
          <w:szCs w:val="20"/>
        </w:rPr>
        <w:t>ethnical voting</w:t>
      </w:r>
      <w:r w:rsidRPr="004000A8">
        <w:rPr>
          <w:rFonts w:ascii="Adobe Garamond Pro" w:hAnsi="Adobe Garamond Pro"/>
          <w:sz w:val="20"/>
          <w:szCs w:val="20"/>
        </w:rPr>
        <w:t>, vezani u korzet kojeg sami ne mogu razbit.“</w:t>
      </w:r>
      <w:bookmarkStart w:id="2" w:name="sdfootnote12anc"/>
      <w:r w:rsidRPr="004000A8">
        <w:rPr>
          <w:rStyle w:val="FootnoteReference"/>
          <w:rFonts w:ascii="Adobe Garamond Pro" w:hAnsi="Adobe Garamond Pro"/>
          <w:sz w:val="20"/>
          <w:szCs w:val="20"/>
        </w:rPr>
        <w:footnoteReference w:id="21"/>
      </w:r>
      <w:bookmarkEnd w:id="2"/>
      <w:r w:rsidRPr="004000A8">
        <w:rPr>
          <w:rFonts w:ascii="Adobe Garamond Pro" w:hAnsi="Adobe Garamond Pro"/>
          <w:sz w:val="20"/>
          <w:szCs w:val="20"/>
        </w:rPr>
        <w:t xml:space="preserve"> </w:t>
      </w:r>
    </w:p>
    <w:p w:rsidR="00E85604" w:rsidRPr="004000A8" w:rsidRDefault="00E85604" w:rsidP="004000A8">
      <w:pPr>
        <w:spacing w:after="0" w:line="240" w:lineRule="auto"/>
        <w:ind w:firstLine="720"/>
        <w:jc w:val="both"/>
        <w:rPr>
          <w:rFonts w:ascii="Adobe Garamond Pro" w:hAnsi="Adobe Garamond Pro"/>
          <w:sz w:val="20"/>
          <w:szCs w:val="20"/>
        </w:rPr>
      </w:pPr>
    </w:p>
    <w:p w:rsidR="004000A8" w:rsidRPr="004000A8" w:rsidRDefault="004000A8" w:rsidP="004000A8">
      <w:pPr>
        <w:spacing w:after="0" w:line="240" w:lineRule="auto"/>
        <w:ind w:firstLine="720"/>
        <w:jc w:val="both"/>
        <w:rPr>
          <w:rFonts w:ascii="Adobe Garamond Pro" w:hAnsi="Adobe Garamond Pro"/>
          <w:sz w:val="20"/>
          <w:szCs w:val="20"/>
        </w:rPr>
      </w:pPr>
      <w:r w:rsidRPr="004000A8">
        <w:rPr>
          <w:rFonts w:ascii="Adobe Garamond Pro" w:hAnsi="Adobe Garamond Pro"/>
          <w:sz w:val="20"/>
          <w:szCs w:val="20"/>
        </w:rPr>
        <w:t xml:space="preserve">Kada se sigurnost i razvoj društva u cjelini počinju podizati, sa svim njihovim karakteristikama, onda se počinju stvarati adekvatni uslovi za poštivanje ljudskih prava i sloboda. S druge strane neposredna primjena ljudskih prava i sloboda determinirana je sigurnošću u društvu, pa se stim u vezi može konstatovati da ljudska prava i slobode predstavljaju temelj za unapređenje razvoja sigurnosti, ali i da nema poštivanja ljudskih prava i sloboda u ne sigurnom društvu. Ljudska prava predstavljaju osnov u trouglu ljudska prava- sigurnost- razvoj, a uz već konstatovano da nema razvoja bez sigurnosti, a sigurnosti bez razvoja, treba naglasiti da nema ni jednog bez temeljnih ljudskih prava. U postkonfliktnim društvima, kakvo je bosanskohercegovačko, najidelalnije bi bilo kada bi se paralelno razvijale sve tri ove strane i to na standardizovanim demokratskim principima, kako bi se u ovom trouglu uspostavio demokratski okvir. Na tim principima bi se realno mogla omogućiti ravnopravnost svim građanima na cijeloj teritoriji BiH, a samo takav okvir može da se ispuni svojom svrhom, koji bi omogućio „zlatni omjer“ u odnosu sigurnost- ljudska prava i slobode </w:t>
      </w:r>
      <w:r w:rsidR="00E85604">
        <w:rPr>
          <w:rFonts w:ascii="Adobe Garamond Pro" w:hAnsi="Adobe Garamond Pro"/>
          <w:sz w:val="20"/>
          <w:szCs w:val="20"/>
        </w:rPr>
        <w:t>-</w:t>
      </w:r>
      <w:r w:rsidRPr="004000A8">
        <w:rPr>
          <w:rFonts w:ascii="Adobe Garamond Pro" w:hAnsi="Adobe Garamond Pro"/>
          <w:sz w:val="20"/>
          <w:szCs w:val="20"/>
        </w:rPr>
        <w:t xml:space="preserve"> razvoj društva u cjelini. Jedini alternativni put BiH, koji može brzo osigurati sigurnost i generirati razvoj BiH je članstvo u NATO savezu.</w:t>
      </w:r>
    </w:p>
    <w:p w:rsidR="006062C1" w:rsidRDefault="006062C1" w:rsidP="004000A8">
      <w:pPr>
        <w:pStyle w:val="ListParagraph"/>
        <w:spacing w:after="0" w:line="240" w:lineRule="auto"/>
        <w:ind w:left="0"/>
        <w:jc w:val="both"/>
        <w:rPr>
          <w:rFonts w:ascii="Adobe Garamond Pro" w:hAnsi="Adobe Garamond Pro"/>
          <w:b/>
          <w:sz w:val="20"/>
          <w:szCs w:val="20"/>
          <w:lang w:val="bs-Latn-BA"/>
        </w:rPr>
      </w:pPr>
    </w:p>
    <w:sectPr w:rsidR="006062C1" w:rsidSect="00BC248E">
      <w:headerReference w:type="even" r:id="rId11"/>
      <w:headerReference w:type="default" r:id="rId12"/>
      <w:footerReference w:type="even" r:id="rId13"/>
      <w:footerReference w:type="default" r:id="rId14"/>
      <w:headerReference w:type="first" r:id="rId15"/>
      <w:footerReference w:type="first" r:id="rId16"/>
      <w:type w:val="continuous"/>
      <w:pgSz w:w="10319" w:h="14578" w:code="138"/>
      <w:pgMar w:top="-1843" w:right="1389" w:bottom="1985" w:left="1701" w:header="1134" w:footer="1418" w:gutter="0"/>
      <w:pgNumType w:start="8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46C" w:rsidRDefault="0090046C" w:rsidP="000C691C">
      <w:pPr>
        <w:spacing w:after="0" w:line="240" w:lineRule="auto"/>
      </w:pPr>
      <w:r>
        <w:separator/>
      </w:r>
    </w:p>
  </w:endnote>
  <w:endnote w:type="continuationSeparator" w:id="1">
    <w:p w:rsidR="0090046C" w:rsidRDefault="0090046C"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EB2124">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BC248E">
      <w:rPr>
        <w:rFonts w:ascii="Adobe Garamond Pro" w:hAnsi="Adobe Garamond Pro" w:cs="Times New Roman"/>
        <w:noProof/>
        <w:sz w:val="20"/>
        <w:szCs w:val="20"/>
      </w:rPr>
      <w:t>824</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EB2124"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EB2124" w:rsidRPr="00FE57C1">
      <w:rPr>
        <w:rFonts w:ascii="Adobe Garamond Pro" w:hAnsi="Adobe Garamond Pro" w:cs="Times New Roman"/>
        <w:sz w:val="20"/>
        <w:szCs w:val="20"/>
      </w:rPr>
      <w:fldChar w:fldCharType="separate"/>
    </w:r>
    <w:r w:rsidR="00BC248E">
      <w:rPr>
        <w:rFonts w:ascii="Adobe Garamond Pro" w:hAnsi="Adobe Garamond Pro" w:cs="Times New Roman"/>
        <w:noProof/>
        <w:sz w:val="20"/>
        <w:szCs w:val="20"/>
      </w:rPr>
      <w:t>823</w:t>
    </w:r>
    <w:r w:rsidR="00EB2124"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EB2124"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BC248E">
      <w:rPr>
        <w:rFonts w:ascii="Adobe Garamond Pro" w:hAnsi="Adobe Garamond Pro" w:cs="Times New Roman"/>
        <w:noProof/>
        <w:sz w:val="20"/>
        <w:szCs w:val="20"/>
      </w:rPr>
      <w:t>815</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46C" w:rsidRDefault="0090046C" w:rsidP="000C691C">
      <w:pPr>
        <w:spacing w:after="0" w:line="240" w:lineRule="auto"/>
      </w:pPr>
      <w:r>
        <w:separator/>
      </w:r>
    </w:p>
  </w:footnote>
  <w:footnote w:type="continuationSeparator" w:id="1">
    <w:p w:rsidR="0090046C" w:rsidRDefault="0090046C" w:rsidP="000C691C">
      <w:pPr>
        <w:spacing w:after="0" w:line="240" w:lineRule="auto"/>
      </w:pPr>
      <w:r>
        <w:continuationSeparator/>
      </w:r>
    </w:p>
  </w:footnote>
  <w:footnote w:id="2">
    <w:p w:rsidR="004000A8" w:rsidRPr="004000A8" w:rsidRDefault="004000A8" w:rsidP="004000A8">
      <w:pPr>
        <w:pStyle w:val="FootnoteText"/>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Povelja UN-a potpisana 26. juna 1945. u San Francisku, a stupila na snagu 24. oktobra 1945 godine.</w:t>
      </w:r>
    </w:p>
  </w:footnote>
  <w:footnote w:id="3">
    <w:p w:rsidR="004000A8" w:rsidRPr="004000A8" w:rsidRDefault="004000A8" w:rsidP="004000A8">
      <w:pPr>
        <w:pStyle w:val="FootnoteText"/>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http://www.oscebih.org/dejtonski_mirovni_sporazum/Hr/home.htm</w:t>
      </w:r>
    </w:p>
  </w:footnote>
  <w:footnote w:id="4">
    <w:p w:rsidR="004000A8" w:rsidRPr="004000A8" w:rsidRDefault="004000A8" w:rsidP="004000A8">
      <w:pPr>
        <w:pStyle w:val="FootnoteText"/>
        <w:contextualSpacing/>
        <w:jc w:val="both"/>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Aneks 4 je naslovljen kao „Ustav Bosne i Hercegovine“; osim toga prelazni propisi br. 1 8 a) u Aneksu II kao i čl. VI.3, X.1, XI, XII 1 i 2 Aneksa 4 govore o ustavu, odnosno o ustavnom tekstu.</w:t>
      </w:r>
    </w:p>
  </w:footnote>
  <w:footnote w:id="5">
    <w:p w:rsidR="004000A8" w:rsidRPr="004000A8" w:rsidRDefault="004000A8" w:rsidP="004000A8">
      <w:pPr>
        <w:pStyle w:val="NoSpacing"/>
        <w:contextualSpacing/>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Harold Berman: Law and Revolution. The Formation of the Western Legal Tradition, Harvard University Press, London, 1983, 16.</w:t>
      </w:r>
    </w:p>
  </w:footnote>
  <w:footnote w:id="6">
    <w:p w:rsidR="004000A8" w:rsidRPr="004000A8" w:rsidRDefault="004000A8" w:rsidP="004000A8">
      <w:pPr>
        <w:pStyle w:val="FootnoteText"/>
        <w:contextualSpacing/>
        <w:jc w:val="both"/>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O prelasku na reapolitički pristup npr. </w:t>
      </w:r>
      <w:r w:rsidRPr="004000A8">
        <w:rPr>
          <w:rFonts w:ascii="Adobe Garamond Pro" w:hAnsi="Adobe Garamond Pro"/>
          <w:i/>
          <w:sz w:val="18"/>
          <w:szCs w:val="18"/>
        </w:rPr>
        <w:t>A. Wohlsteter</w:t>
      </w:r>
      <w:r w:rsidRPr="004000A8">
        <w:rPr>
          <w:rFonts w:ascii="Adobe Garamond Pro" w:hAnsi="Adobe Garamond Pro"/>
          <w:sz w:val="18"/>
          <w:szCs w:val="18"/>
        </w:rPr>
        <w:t xml:space="preserve">, Wie man Groß-Serbien schafft? FAZ, 9.9.1994, </w:t>
      </w:r>
      <w:r w:rsidRPr="004000A8">
        <w:rPr>
          <w:rFonts w:ascii="Adobe Garamond Pro" w:hAnsi="Adobe Garamond Pro"/>
          <w:i/>
          <w:sz w:val="18"/>
          <w:szCs w:val="18"/>
        </w:rPr>
        <w:t>Calic</w:t>
      </w:r>
      <w:r w:rsidRPr="004000A8">
        <w:rPr>
          <w:rFonts w:ascii="Adobe Garamond Pro" w:hAnsi="Adobe Garamond Pro"/>
          <w:sz w:val="18"/>
          <w:szCs w:val="18"/>
        </w:rPr>
        <w:t xml:space="preserve"> (fn. 1 ), s. 217 i dalje; </w:t>
      </w:r>
      <w:r w:rsidRPr="004000A8">
        <w:rPr>
          <w:rFonts w:ascii="Adobe Garamond Pro" w:hAnsi="Adobe Garamond Pro"/>
          <w:i/>
          <w:sz w:val="18"/>
          <w:szCs w:val="18"/>
        </w:rPr>
        <w:t>E. Šarčević</w:t>
      </w:r>
      <w:r w:rsidRPr="004000A8">
        <w:rPr>
          <w:rFonts w:ascii="Adobe Garamond Pro" w:hAnsi="Adobe Garamond Pro"/>
          <w:sz w:val="18"/>
          <w:szCs w:val="18"/>
        </w:rPr>
        <w:t>, Völkerrechtlicher Vertrag als „Gestaltungsinstrument“ der Verfassung</w:t>
      </w:r>
      <w:r w:rsidRPr="004000A8">
        <w:rPr>
          <w:rFonts w:ascii="Adobe Garamond Pro" w:hAnsi="Adobe Garamond Pro"/>
          <w:sz w:val="18"/>
          <w:szCs w:val="18"/>
        </w:rPr>
        <w:softHyphen/>
        <w:t>gebung: das Daytoner Verfassungsexperiment mit Präzedenzwirkung?, AVR tom 39/2001, s. 297 i dalje;</w:t>
      </w:r>
    </w:p>
  </w:footnote>
  <w:footnote w:id="7">
    <w:p w:rsidR="004000A8" w:rsidRPr="004000A8" w:rsidRDefault="004000A8" w:rsidP="004000A8">
      <w:pPr>
        <w:pStyle w:val="NoSpacing"/>
        <w:contextualSpacing/>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Harold Berman: Law and Revolution. The Formation of the Western Legal Tradition, str:16.</w:t>
      </w:r>
    </w:p>
  </w:footnote>
  <w:footnote w:id="8">
    <w:p w:rsidR="004000A8" w:rsidRPr="004000A8" w:rsidRDefault="004000A8" w:rsidP="004000A8">
      <w:pPr>
        <w:pStyle w:val="FootnoteText"/>
        <w:contextualSpacing/>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Edin Šarčević, Dejtonski ustav, str.76</w:t>
      </w:r>
    </w:p>
  </w:footnote>
  <w:footnote w:id="9">
    <w:p w:rsidR="004000A8" w:rsidRPr="004000A8" w:rsidRDefault="004000A8" w:rsidP="004000A8">
      <w:pPr>
        <w:pStyle w:val="NormalWeb"/>
        <w:spacing w:before="0" w:beforeAutospacing="0" w:after="0" w:afterAutospacing="0"/>
        <w:contextualSpacing/>
        <w:jc w:val="both"/>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AP broj: 27996/06 i 34836/06 od 22.12.2009. godine, dostupno na  </w:t>
      </w:r>
      <w:hyperlink r:id="rId1" w:history="1">
        <w:r w:rsidRPr="004000A8">
          <w:rPr>
            <w:rStyle w:val="Hyperlink"/>
            <w:rFonts w:ascii="Adobe Garamond Pro" w:hAnsi="Adobe Garamond Pro"/>
            <w:color w:val="auto"/>
            <w:sz w:val="18"/>
            <w:szCs w:val="18"/>
            <w:u w:val="none"/>
          </w:rPr>
          <w:t>http://www.mhrr.gov.ba/ured_zastupnika/novosti/?id=1008</w:t>
        </w:r>
      </w:hyperlink>
      <w:r w:rsidRPr="004000A8">
        <w:rPr>
          <w:rFonts w:ascii="Adobe Garamond Pro" w:hAnsi="Adobe Garamond Pro"/>
          <w:sz w:val="18"/>
          <w:szCs w:val="18"/>
        </w:rPr>
        <w:t xml:space="preserve"> (pristupljeno 10.3.2014. godine). Više o presudi u Edin Hodžić i Nenad Stojanović, </w:t>
      </w:r>
      <w:r w:rsidRPr="004000A8">
        <w:rPr>
          <w:rStyle w:val="Emphasis"/>
          <w:rFonts w:ascii="Adobe Garamond Pro" w:hAnsi="Adobe Garamond Pro"/>
          <w:b w:val="0"/>
          <w:sz w:val="18"/>
          <w:szCs w:val="18"/>
        </w:rPr>
        <w:t>Novi-stari ustavni inženjering?,</w:t>
      </w:r>
      <w:r w:rsidRPr="004000A8">
        <w:rPr>
          <w:rFonts w:ascii="Adobe Garamond Pro" w:hAnsi="Adobe Garamond Pro"/>
          <w:sz w:val="18"/>
          <w:szCs w:val="18"/>
        </w:rPr>
        <w:t xml:space="preserve"> ANALITIKA Centar za društvena istraživanja, Sarajevo, 2011. godine, dostupno na </w:t>
      </w:r>
      <w:hyperlink r:id="rId2" w:history="1">
        <w:r w:rsidRPr="004000A8">
          <w:rPr>
            <w:rStyle w:val="Hyperlink"/>
            <w:rFonts w:ascii="Adobe Garamond Pro" w:hAnsi="Adobe Garamond Pro"/>
            <w:color w:val="auto"/>
            <w:sz w:val="18"/>
            <w:szCs w:val="18"/>
            <w:u w:val="none"/>
          </w:rPr>
          <w:t>http://analitika.ba/files/Novi-stari%20ustavni%20inzenjering% 20u% 20BIH%2028april2011%20WEB%20FINAL.pdf</w:t>
        </w:r>
      </w:hyperlink>
      <w:r w:rsidRPr="004000A8">
        <w:rPr>
          <w:rFonts w:ascii="Adobe Garamond Pro" w:hAnsi="Adobe Garamond Pro"/>
          <w:sz w:val="18"/>
          <w:szCs w:val="18"/>
        </w:rPr>
        <w:t xml:space="preserve"> (pristupljeno 10.03.2014. godine).</w:t>
      </w:r>
    </w:p>
  </w:footnote>
  <w:footnote w:id="10">
    <w:p w:rsidR="004000A8" w:rsidRPr="004000A8" w:rsidRDefault="004000A8" w:rsidP="004000A8">
      <w:pPr>
        <w:pStyle w:val="FootnoteText"/>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Prof. dr. Nebojša B. Vučinić Ljudska prava, bezbjednost zajednice i sigurnost pojedinca, str.100</w:t>
      </w:r>
    </w:p>
  </w:footnote>
  <w:footnote w:id="11">
    <w:p w:rsidR="004000A8" w:rsidRPr="004000A8" w:rsidRDefault="004000A8" w:rsidP="004000A8">
      <w:pPr>
        <w:pStyle w:val="FootnoteText"/>
        <w:contextualSpacing/>
        <w:jc w:val="both"/>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Obavještajno- sigurnosna agencija BiH, integrirana od entitetskih obavještajnih službi, djeluje kao </w:t>
      </w:r>
    </w:p>
    <w:p w:rsidR="004000A8" w:rsidRPr="004000A8" w:rsidRDefault="004000A8" w:rsidP="004000A8">
      <w:pPr>
        <w:pStyle w:val="FootnoteText"/>
        <w:contextualSpacing/>
        <w:jc w:val="both"/>
        <w:rPr>
          <w:rFonts w:ascii="Adobe Garamond Pro" w:hAnsi="Adobe Garamond Pro"/>
          <w:sz w:val="18"/>
          <w:szCs w:val="18"/>
        </w:rPr>
      </w:pPr>
      <w:r w:rsidRPr="004000A8">
        <w:rPr>
          <w:rFonts w:ascii="Adobe Garamond Pro" w:hAnsi="Adobe Garamond Pro"/>
          <w:sz w:val="18"/>
          <w:szCs w:val="18"/>
        </w:rPr>
        <w:t xml:space="preserve">     jedinstvena agencija na cijelom teritoriju BiH, uz adekvatnu zakonsku potporu. </w:t>
      </w:r>
    </w:p>
  </w:footnote>
  <w:footnote w:id="12">
    <w:p w:rsidR="004000A8" w:rsidRPr="004000A8" w:rsidRDefault="004000A8" w:rsidP="004000A8">
      <w:pPr>
        <w:pStyle w:val="FootnoteText"/>
        <w:contextualSpacing/>
        <w:jc w:val="both"/>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Entiteti imaju Ustavnu obavezu da institucijama BiH pruže svaku pomoć u ispunjavanju međunarodnih obaveza (član III tačka2.b.)</w:t>
      </w:r>
    </w:p>
  </w:footnote>
  <w:footnote w:id="13">
    <w:p w:rsidR="004000A8" w:rsidRPr="004000A8" w:rsidRDefault="004000A8" w:rsidP="004000A8">
      <w:pPr>
        <w:pStyle w:val="FootnoteText"/>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U Ustavu Bosne i Hercegovine nije predviđeno postojanje sudske vlasti na državnom nivou</w:t>
      </w:r>
    </w:p>
  </w:footnote>
  <w:footnote w:id="14">
    <w:p w:rsidR="004000A8" w:rsidRPr="004000A8" w:rsidRDefault="004000A8" w:rsidP="004000A8">
      <w:pPr>
        <w:pStyle w:val="FootnoteText"/>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Član 39 Zakona o Direkciji za koordinaciju policijskih tijela</w:t>
      </w:r>
    </w:p>
  </w:footnote>
  <w:footnote w:id="15">
    <w:p w:rsidR="004000A8" w:rsidRPr="004000A8" w:rsidRDefault="004000A8" w:rsidP="004000A8">
      <w:pPr>
        <w:pStyle w:val="FootnoteText"/>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Snage bosanskih srba </w:t>
      </w:r>
      <w:r w:rsidRPr="004000A8">
        <w:rPr>
          <w:rFonts w:ascii="Adobe Garamond Pro" w:eastAsia="MS Mincho" w:hAnsi="Adobe Garamond Pro"/>
          <w:sz w:val="18"/>
          <w:szCs w:val="18"/>
          <w:lang w:val="en-US" w:eastAsia="ja-JP" w:bidi="ta-IN"/>
        </w:rPr>
        <w:t>su tada sačinjavale vojska i policija Republike Srpske</w:t>
      </w:r>
    </w:p>
  </w:footnote>
  <w:footnote w:id="16">
    <w:p w:rsidR="004000A8" w:rsidRPr="004000A8" w:rsidRDefault="004000A8" w:rsidP="004000A8">
      <w:pPr>
        <w:pStyle w:val="FootnoteText"/>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http://www.narodnaskupstinars.net/lat/stranica/narodni-poslanik-senad-bratic-ministarstvu-unutrasnjih-poslova-L</w:t>
      </w:r>
    </w:p>
  </w:footnote>
  <w:footnote w:id="17">
    <w:p w:rsidR="004000A8" w:rsidRPr="004000A8" w:rsidRDefault="004000A8" w:rsidP="004000A8">
      <w:pPr>
        <w:pStyle w:val="NoSpacing"/>
        <w:contextualSpacing/>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Hrvatski prijevod Ustava SAD (B. Smerdel), Panliber, Osijek 1994. str. 21.</w:t>
      </w:r>
    </w:p>
  </w:footnote>
  <w:footnote w:id="18">
    <w:p w:rsidR="004000A8" w:rsidRPr="004000A8" w:rsidRDefault="004000A8" w:rsidP="004000A8">
      <w:pPr>
        <w:pStyle w:val="NoSpacing"/>
        <w:contextualSpacing/>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Koncept Ustava kao kulture društva 'slobodnih tumača Ustava' razvio je Peter Häberle u svojem djelu 'Ustavna država', priredio Zvonko Posavec, prijevod Tomislav Martinović, Politička kultura, Zagreb 2002.</w:t>
      </w:r>
    </w:p>
  </w:footnote>
  <w:footnote w:id="19">
    <w:p w:rsidR="004000A8" w:rsidRPr="004000A8" w:rsidRDefault="004000A8" w:rsidP="004000A8">
      <w:pPr>
        <w:pStyle w:val="FootnoteText"/>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w:t>
      </w:r>
      <w:r w:rsidRPr="004000A8">
        <w:rPr>
          <w:rFonts w:ascii="Adobe Garamond Pro" w:hAnsi="Adobe Garamond Pro"/>
          <w:sz w:val="18"/>
          <w:szCs w:val="18"/>
          <w:shd w:val="clear" w:color="auto" w:fill="FFFFFF"/>
        </w:rPr>
        <w:t>Prema Indeksu percepcije korupcije kojeg je početkom decembra 2013 objavila organizacija Transparency International (TI), Bosna i Hercegovina zauzima 72. mjesto od ukupno 175 zemalja svijeta koje su obuhvaćene istraživanjem i nalazi se u grupi evropskih zemalja s najvišom korupcijom (Podatak: Transparency International Corruption Perceptions Index 2013). - See more at: http://www.ifimes.org/ba/istrazivanja/bosna-i-hercegovina-korupcija-posast-koja-unistava-bih-2013-12-27/#sthash.hY3BtywK.dpuf</w:t>
      </w:r>
    </w:p>
  </w:footnote>
  <w:footnote w:id="20">
    <w:p w:rsidR="004000A8" w:rsidRPr="004000A8" w:rsidRDefault="004000A8" w:rsidP="004000A8">
      <w:pPr>
        <w:pStyle w:val="FootnoteText"/>
        <w:contextualSpacing/>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w:t>
      </w:r>
      <w:r w:rsidRPr="004000A8">
        <w:rPr>
          <w:rFonts w:ascii="Adobe Garamond Pro" w:hAnsi="Adobe Garamond Pro"/>
          <w:sz w:val="18"/>
          <w:szCs w:val="18"/>
          <w:lang w:eastAsia="bs-Latn-BA"/>
        </w:rPr>
        <w:t xml:space="preserve">Mirko Pejanović, </w:t>
      </w:r>
      <w:r w:rsidRPr="004000A8">
        <w:rPr>
          <w:rFonts w:ascii="Adobe Garamond Pro" w:hAnsi="Adobe Garamond Pro"/>
          <w:bCs/>
          <w:i/>
          <w:iCs/>
          <w:sz w:val="18"/>
          <w:szCs w:val="18"/>
          <w:lang w:eastAsia="bs-Latn-BA"/>
        </w:rPr>
        <w:t>Ogledi o državnosti i političkom razvoju Bosne i Hercegovine</w:t>
      </w:r>
      <w:r w:rsidRPr="004000A8">
        <w:rPr>
          <w:rFonts w:ascii="Adobe Garamond Pro" w:hAnsi="Adobe Garamond Pro"/>
          <w:sz w:val="18"/>
          <w:szCs w:val="18"/>
          <w:lang w:eastAsia="bs-Latn-BA"/>
        </w:rPr>
        <w:t>, Sarajevo 2010, str.197.</w:t>
      </w:r>
    </w:p>
  </w:footnote>
  <w:footnote w:id="21">
    <w:p w:rsidR="004000A8" w:rsidRPr="004000A8" w:rsidRDefault="004000A8" w:rsidP="004000A8">
      <w:pPr>
        <w:pStyle w:val="FootnoteText"/>
        <w:contextualSpacing/>
        <w:rPr>
          <w:rFonts w:ascii="Adobe Garamond Pro" w:hAnsi="Adobe Garamond Pro"/>
          <w:sz w:val="18"/>
          <w:szCs w:val="18"/>
        </w:rPr>
      </w:pPr>
      <w:r w:rsidRPr="004000A8">
        <w:rPr>
          <w:rStyle w:val="FootnoteReference"/>
          <w:rFonts w:ascii="Adobe Garamond Pro" w:hAnsi="Adobe Garamond Pro"/>
          <w:sz w:val="18"/>
          <w:szCs w:val="18"/>
        </w:rPr>
        <w:footnoteRef/>
      </w:r>
      <w:r w:rsidRPr="004000A8">
        <w:rPr>
          <w:rFonts w:ascii="Adobe Garamond Pro" w:hAnsi="Adobe Garamond Pro"/>
          <w:sz w:val="18"/>
          <w:szCs w:val="18"/>
        </w:rPr>
        <w:t xml:space="preserve"> </w:t>
      </w:r>
      <w:r w:rsidRPr="004000A8">
        <w:rPr>
          <w:rFonts w:ascii="Adobe Garamond Pro" w:hAnsi="Adobe Garamond Pro"/>
          <w:sz w:val="18"/>
          <w:szCs w:val="18"/>
          <w:lang w:eastAsia="bs-Latn-BA"/>
        </w:rPr>
        <w:t xml:space="preserve">Erich Rathfeder i Carl Bethke, </w:t>
      </w:r>
      <w:r w:rsidRPr="004000A8">
        <w:rPr>
          <w:rFonts w:ascii="Adobe Garamond Pro" w:hAnsi="Adobe Garamond Pro"/>
          <w:bCs/>
          <w:i/>
          <w:iCs/>
          <w:sz w:val="18"/>
          <w:szCs w:val="18"/>
          <w:lang w:eastAsia="bs-Latn-BA"/>
        </w:rPr>
        <w:t>Bosna u fokusu drugi politički izazov Christian Schwarce Schilling</w:t>
      </w:r>
      <w:r w:rsidRPr="004000A8">
        <w:rPr>
          <w:rFonts w:ascii="Adobe Garamond Pro" w:hAnsi="Adobe Garamond Pro"/>
          <w:sz w:val="18"/>
          <w:szCs w:val="18"/>
          <w:lang w:eastAsia="bs-Latn-BA"/>
        </w:rPr>
        <w:t>, Kult-B Sarajevo, 2010, str.436.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371AA2"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Nermin Lapandić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A2" w:rsidRPr="00371AA2" w:rsidRDefault="00371AA2" w:rsidP="00371AA2">
    <w:pPr>
      <w:pBdr>
        <w:bottom w:val="single" w:sz="4" w:space="1" w:color="auto"/>
      </w:pBdr>
      <w:spacing w:after="0" w:line="240" w:lineRule="auto"/>
      <w:jc w:val="right"/>
      <w:rPr>
        <w:rFonts w:ascii="Adobe Garamond Pro" w:hAnsi="Adobe Garamond Pro"/>
        <w:sz w:val="20"/>
        <w:szCs w:val="20"/>
      </w:rPr>
    </w:pPr>
    <w:r w:rsidRPr="00371AA2">
      <w:rPr>
        <w:rFonts w:ascii="Adobe Garamond Pro" w:hAnsi="Adobe Garamond Pro"/>
        <w:sz w:val="20"/>
        <w:szCs w:val="20"/>
      </w:rPr>
      <w:t>Ljudska prava i slobode, sigurnost i razvoj</w:t>
    </w:r>
    <w:r>
      <w:rPr>
        <w:rFonts w:ascii="Adobe Garamond Pro" w:hAnsi="Adobe Garamond Pro"/>
        <w:sz w:val="20"/>
        <w:szCs w:val="20"/>
      </w:rPr>
      <w:t xml:space="preserve"> </w:t>
    </w:r>
    <w:r w:rsidRPr="00371AA2">
      <w:rPr>
        <w:rFonts w:ascii="Adobe Garamond Pro" w:hAnsi="Adobe Garamond Pro"/>
        <w:sz w:val="20"/>
        <w:szCs w:val="20"/>
      </w:rPr>
      <w:t xml:space="preserve">Bosne i </w:t>
    </w:r>
    <w:r>
      <w:rPr>
        <w:rFonts w:ascii="Adobe Garamond Pro" w:hAnsi="Adobe Garamond Pro"/>
        <w:sz w:val="20"/>
        <w:szCs w:val="20"/>
      </w:rPr>
      <w:t>H</w:t>
    </w:r>
    <w:r w:rsidRPr="00371AA2">
      <w:rPr>
        <w:rFonts w:ascii="Adobe Garamond Pro" w:hAnsi="Adobe Garamond Pro"/>
        <w:sz w:val="20"/>
        <w:szCs w:val="20"/>
      </w:rPr>
      <w:t>ercegovine</w:t>
    </w:r>
  </w:p>
  <w:p w:rsidR="00FF280B" w:rsidRPr="00371AA2" w:rsidRDefault="00FF280B" w:rsidP="00371AA2">
    <w:pPr>
      <w:pStyle w:val="Header"/>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EB2124"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4A55D4">
      <w:rPr>
        <w:rFonts w:ascii="Adobe Garamond Pro" w:hAnsi="Adobe Garamond Pro" w:cs="Times New Roman"/>
        <w:b/>
        <w:noProof/>
        <w:sz w:val="20"/>
        <w:szCs w:val="20"/>
        <w:lang w:val="bs-Latn-BA" w:eastAsia="bs-Latn-BA"/>
      </w:rPr>
      <w:t>STRUČNI ČLANAK</w:t>
    </w:r>
  </w:p>
  <w:p w:rsidR="00371AA2" w:rsidRPr="00371AA2" w:rsidRDefault="00371AA2" w:rsidP="00371AA2">
    <w:pPr>
      <w:spacing w:after="0" w:line="240" w:lineRule="auto"/>
      <w:jc w:val="right"/>
      <w:rPr>
        <w:rFonts w:ascii="Adobe Garamond Pro" w:hAnsi="Adobe Garamond Pro"/>
        <w:sz w:val="20"/>
        <w:szCs w:val="20"/>
      </w:rPr>
    </w:pPr>
    <w:r w:rsidRPr="00371AA2">
      <w:rPr>
        <w:rFonts w:ascii="Adobe Garamond Pro" w:hAnsi="Adobe Garamond Pro"/>
        <w:sz w:val="20"/>
        <w:szCs w:val="20"/>
      </w:rPr>
      <w:t>UDK 342.7</w:t>
    </w:r>
  </w:p>
  <w:p w:rsidR="00FF280B" w:rsidRPr="004A55D4" w:rsidRDefault="00FF280B" w:rsidP="00371AA2">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F4"/>
    <w:multiLevelType w:val="hybridMultilevel"/>
    <w:tmpl w:val="EA706810"/>
    <w:lvl w:ilvl="0" w:tplc="47E81D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F0F28A6"/>
    <w:multiLevelType w:val="hybridMultilevel"/>
    <w:tmpl w:val="C88A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310C7"/>
    <w:multiLevelType w:val="hybridMultilevel"/>
    <w:tmpl w:val="86EEE816"/>
    <w:lvl w:ilvl="0" w:tplc="14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9">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2E8F5213"/>
    <w:multiLevelType w:val="hybridMultilevel"/>
    <w:tmpl w:val="C3C05668"/>
    <w:lvl w:ilvl="0" w:tplc="51467E40">
      <w:start w:val="1"/>
      <w:numFmt w:val="decimal"/>
      <w:lvlText w:val="%1."/>
      <w:lvlJc w:val="left"/>
      <w:pPr>
        <w:tabs>
          <w:tab w:val="num" w:pos="720"/>
        </w:tabs>
        <w:ind w:left="720" w:hanging="360"/>
      </w:pPr>
      <w:rPr>
        <w:rFonts w:hint="default"/>
        <w:b w:val="0"/>
        <w:color w:val="auto"/>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1">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341EF1"/>
    <w:multiLevelType w:val="hybridMultilevel"/>
    <w:tmpl w:val="B4EA1606"/>
    <w:lvl w:ilvl="0" w:tplc="85464A6E">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16">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18E3028"/>
    <w:multiLevelType w:val="hybridMultilevel"/>
    <w:tmpl w:val="4F06035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FBA1D0F"/>
    <w:multiLevelType w:val="hybridMultilevel"/>
    <w:tmpl w:val="CF1E46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628E3FD4"/>
    <w:multiLevelType w:val="hybridMultilevel"/>
    <w:tmpl w:val="EEDC36A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8">
    <w:nsid w:val="7770509F"/>
    <w:multiLevelType w:val="hybridMultilevel"/>
    <w:tmpl w:val="A3F8CAD2"/>
    <w:lvl w:ilvl="0" w:tplc="141A000F">
      <w:start w:val="1"/>
      <w:numFmt w:val="decimal"/>
      <w:lvlText w:val="%1."/>
      <w:lvlJc w:val="left"/>
      <w:pPr>
        <w:ind w:left="360" w:hanging="360"/>
      </w:pPr>
      <w:rPr>
        <w:rFonts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F">
      <w:start w:val="1"/>
      <w:numFmt w:val="decimal"/>
      <w:lvlText w:val="%4."/>
      <w:lvlJc w:val="left"/>
      <w:pPr>
        <w:ind w:left="2520" w:hanging="360"/>
      </w:pPr>
      <w:rPr>
        <w:rFonts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9">
    <w:nsid w:val="7834484C"/>
    <w:multiLevelType w:val="multilevel"/>
    <w:tmpl w:val="AAC8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nsid w:val="7C1F7257"/>
    <w:multiLevelType w:val="hybridMultilevel"/>
    <w:tmpl w:val="571E9BC2"/>
    <w:lvl w:ilvl="0" w:tplc="07A253F0">
      <w:start w:val="1"/>
      <w:numFmt w:val="decimal"/>
      <w:lvlText w:val="%1."/>
      <w:lvlJc w:val="left"/>
      <w:pPr>
        <w:tabs>
          <w:tab w:val="num" w:pos="1653"/>
        </w:tabs>
        <w:ind w:left="1653" w:hanging="945"/>
      </w:pPr>
      <w:rPr>
        <w:rFonts w:eastAsia="Times New Roman" w:hint="default"/>
        <w:b w:val="0"/>
        <w:color w:val="000000"/>
      </w:rPr>
    </w:lvl>
    <w:lvl w:ilvl="1" w:tplc="141A0019" w:tentative="1">
      <w:start w:val="1"/>
      <w:numFmt w:val="lowerLetter"/>
      <w:lvlText w:val="%2."/>
      <w:lvlJc w:val="left"/>
      <w:pPr>
        <w:tabs>
          <w:tab w:val="num" w:pos="1788"/>
        </w:tabs>
        <w:ind w:left="1788" w:hanging="360"/>
      </w:pPr>
    </w:lvl>
    <w:lvl w:ilvl="2" w:tplc="141A001B" w:tentative="1">
      <w:start w:val="1"/>
      <w:numFmt w:val="lowerRoman"/>
      <w:lvlText w:val="%3."/>
      <w:lvlJc w:val="right"/>
      <w:pPr>
        <w:tabs>
          <w:tab w:val="num" w:pos="2508"/>
        </w:tabs>
        <w:ind w:left="2508" w:hanging="180"/>
      </w:pPr>
    </w:lvl>
    <w:lvl w:ilvl="3" w:tplc="141A000F" w:tentative="1">
      <w:start w:val="1"/>
      <w:numFmt w:val="decimal"/>
      <w:lvlText w:val="%4."/>
      <w:lvlJc w:val="left"/>
      <w:pPr>
        <w:tabs>
          <w:tab w:val="num" w:pos="3228"/>
        </w:tabs>
        <w:ind w:left="3228" w:hanging="360"/>
      </w:pPr>
    </w:lvl>
    <w:lvl w:ilvl="4" w:tplc="141A0019" w:tentative="1">
      <w:start w:val="1"/>
      <w:numFmt w:val="lowerLetter"/>
      <w:lvlText w:val="%5."/>
      <w:lvlJc w:val="left"/>
      <w:pPr>
        <w:tabs>
          <w:tab w:val="num" w:pos="3948"/>
        </w:tabs>
        <w:ind w:left="3948" w:hanging="360"/>
      </w:pPr>
    </w:lvl>
    <w:lvl w:ilvl="5" w:tplc="141A001B" w:tentative="1">
      <w:start w:val="1"/>
      <w:numFmt w:val="lowerRoman"/>
      <w:lvlText w:val="%6."/>
      <w:lvlJc w:val="right"/>
      <w:pPr>
        <w:tabs>
          <w:tab w:val="num" w:pos="4668"/>
        </w:tabs>
        <w:ind w:left="4668" w:hanging="180"/>
      </w:pPr>
    </w:lvl>
    <w:lvl w:ilvl="6" w:tplc="141A000F" w:tentative="1">
      <w:start w:val="1"/>
      <w:numFmt w:val="decimal"/>
      <w:lvlText w:val="%7."/>
      <w:lvlJc w:val="left"/>
      <w:pPr>
        <w:tabs>
          <w:tab w:val="num" w:pos="5388"/>
        </w:tabs>
        <w:ind w:left="5388" w:hanging="360"/>
      </w:pPr>
    </w:lvl>
    <w:lvl w:ilvl="7" w:tplc="141A0019" w:tentative="1">
      <w:start w:val="1"/>
      <w:numFmt w:val="lowerLetter"/>
      <w:lvlText w:val="%8."/>
      <w:lvlJc w:val="left"/>
      <w:pPr>
        <w:tabs>
          <w:tab w:val="num" w:pos="6108"/>
        </w:tabs>
        <w:ind w:left="6108" w:hanging="360"/>
      </w:pPr>
    </w:lvl>
    <w:lvl w:ilvl="8" w:tplc="141A001B" w:tentative="1">
      <w:start w:val="1"/>
      <w:numFmt w:val="lowerRoman"/>
      <w:lvlText w:val="%9."/>
      <w:lvlJc w:val="right"/>
      <w:pPr>
        <w:tabs>
          <w:tab w:val="num" w:pos="6828"/>
        </w:tabs>
        <w:ind w:left="6828" w:hanging="180"/>
      </w:pPr>
    </w:lvl>
  </w:abstractNum>
  <w:num w:numId="1">
    <w:abstractNumId w:val="27"/>
  </w:num>
  <w:num w:numId="2">
    <w:abstractNumId w:val="3"/>
  </w:num>
  <w:num w:numId="3">
    <w:abstractNumId w:val="33"/>
  </w:num>
  <w:num w:numId="4">
    <w:abstractNumId w:val="13"/>
  </w:num>
  <w:num w:numId="5">
    <w:abstractNumId w:val="35"/>
  </w:num>
  <w:num w:numId="6">
    <w:abstractNumId w:val="5"/>
  </w:num>
  <w:num w:numId="7">
    <w:abstractNumId w:val="11"/>
  </w:num>
  <w:num w:numId="8">
    <w:abstractNumId w:val="17"/>
  </w:num>
  <w:num w:numId="9">
    <w:abstractNumId w:val="21"/>
  </w:num>
  <w:num w:numId="10">
    <w:abstractNumId w:val="14"/>
  </w:num>
  <w:num w:numId="11">
    <w:abstractNumId w:val="8"/>
  </w:num>
  <w:num w:numId="12">
    <w:abstractNumId w:val="16"/>
  </w:num>
  <w:num w:numId="13">
    <w:abstractNumId w:val="36"/>
  </w:num>
  <w:num w:numId="14">
    <w:abstractNumId w:val="6"/>
  </w:num>
  <w:num w:numId="15">
    <w:abstractNumId w:val="2"/>
  </w:num>
  <w:num w:numId="16">
    <w:abstractNumId w:val="9"/>
  </w:num>
  <w:num w:numId="17">
    <w:abstractNumId w:val="12"/>
  </w:num>
  <w:num w:numId="18">
    <w:abstractNumId w:val="24"/>
  </w:num>
  <w:num w:numId="19">
    <w:abstractNumId w:val="20"/>
  </w:num>
  <w:num w:numId="20">
    <w:abstractNumId w:val="18"/>
  </w:num>
  <w:num w:numId="21">
    <w:abstractNumId w:val="32"/>
  </w:num>
  <w:num w:numId="22">
    <w:abstractNumId w:val="1"/>
  </w:num>
  <w:num w:numId="23">
    <w:abstractNumId w:val="40"/>
  </w:num>
  <w:num w:numId="24">
    <w:abstractNumId w:val="23"/>
  </w:num>
  <w:num w:numId="25">
    <w:abstractNumId w:val="22"/>
  </w:num>
  <w:num w:numId="26">
    <w:abstractNumId w:val="34"/>
  </w:num>
  <w:num w:numId="27">
    <w:abstractNumId w:val="37"/>
  </w:num>
  <w:num w:numId="28">
    <w:abstractNumId w:val="30"/>
  </w:num>
  <w:num w:numId="29">
    <w:abstractNumId w:val="41"/>
  </w:num>
  <w:num w:numId="30">
    <w:abstractNumId w:val="25"/>
  </w:num>
  <w:num w:numId="31">
    <w:abstractNumId w:val="26"/>
  </w:num>
  <w:num w:numId="32">
    <w:abstractNumId w:val="28"/>
  </w:num>
  <w:num w:numId="33">
    <w:abstractNumId w:val="15"/>
  </w:num>
  <w:num w:numId="34">
    <w:abstractNumId w:val="38"/>
  </w:num>
  <w:num w:numId="35">
    <w:abstractNumId w:val="39"/>
  </w:num>
  <w:num w:numId="36">
    <w:abstractNumId w:val="10"/>
  </w:num>
  <w:num w:numId="37">
    <w:abstractNumId w:val="29"/>
  </w:num>
  <w:num w:numId="38">
    <w:abstractNumId w:val="42"/>
  </w:num>
  <w:num w:numId="39">
    <w:abstractNumId w:val="31"/>
  </w:num>
  <w:num w:numId="40">
    <w:abstractNumId w:val="19"/>
  </w:num>
  <w:num w:numId="41">
    <w:abstractNumId w:val="4"/>
  </w:num>
  <w:num w:numId="42">
    <w:abstractNumId w:val="0"/>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5650">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D0D8D"/>
    <w:rsid w:val="000E1571"/>
    <w:rsid w:val="000F0373"/>
    <w:rsid w:val="000F1949"/>
    <w:rsid w:val="00107EF1"/>
    <w:rsid w:val="0011022A"/>
    <w:rsid w:val="00115821"/>
    <w:rsid w:val="00120375"/>
    <w:rsid w:val="001374C4"/>
    <w:rsid w:val="00144A6F"/>
    <w:rsid w:val="001508C9"/>
    <w:rsid w:val="00153093"/>
    <w:rsid w:val="001654CE"/>
    <w:rsid w:val="0016554A"/>
    <w:rsid w:val="00170728"/>
    <w:rsid w:val="001909E5"/>
    <w:rsid w:val="001959A4"/>
    <w:rsid w:val="001A4B4E"/>
    <w:rsid w:val="001B0A65"/>
    <w:rsid w:val="001C6DC9"/>
    <w:rsid w:val="001D4039"/>
    <w:rsid w:val="001F0AD6"/>
    <w:rsid w:val="002002DE"/>
    <w:rsid w:val="00205247"/>
    <w:rsid w:val="0023078B"/>
    <w:rsid w:val="00230AB1"/>
    <w:rsid w:val="0024323B"/>
    <w:rsid w:val="00260E15"/>
    <w:rsid w:val="00264C3A"/>
    <w:rsid w:val="002675B4"/>
    <w:rsid w:val="002715B8"/>
    <w:rsid w:val="002A04A4"/>
    <w:rsid w:val="002A4A58"/>
    <w:rsid w:val="002D2430"/>
    <w:rsid w:val="002D542C"/>
    <w:rsid w:val="002D5F3F"/>
    <w:rsid w:val="002D6E37"/>
    <w:rsid w:val="00306F6C"/>
    <w:rsid w:val="00323B9C"/>
    <w:rsid w:val="003328EE"/>
    <w:rsid w:val="00346C37"/>
    <w:rsid w:val="00351FA0"/>
    <w:rsid w:val="003619F7"/>
    <w:rsid w:val="00371AA2"/>
    <w:rsid w:val="00373213"/>
    <w:rsid w:val="003811A8"/>
    <w:rsid w:val="00394B5C"/>
    <w:rsid w:val="003B1F07"/>
    <w:rsid w:val="003B4EB9"/>
    <w:rsid w:val="003D5794"/>
    <w:rsid w:val="003F7405"/>
    <w:rsid w:val="004000A8"/>
    <w:rsid w:val="004014D9"/>
    <w:rsid w:val="004048D6"/>
    <w:rsid w:val="0041608E"/>
    <w:rsid w:val="004244DB"/>
    <w:rsid w:val="00424836"/>
    <w:rsid w:val="00425200"/>
    <w:rsid w:val="00431A2E"/>
    <w:rsid w:val="0044666F"/>
    <w:rsid w:val="00447F34"/>
    <w:rsid w:val="00447FE0"/>
    <w:rsid w:val="004624E6"/>
    <w:rsid w:val="004725BF"/>
    <w:rsid w:val="00472D53"/>
    <w:rsid w:val="00493C49"/>
    <w:rsid w:val="004A242E"/>
    <w:rsid w:val="004A54A8"/>
    <w:rsid w:val="004A55D4"/>
    <w:rsid w:val="004A6567"/>
    <w:rsid w:val="004B37E4"/>
    <w:rsid w:val="004B3A89"/>
    <w:rsid w:val="004C4A36"/>
    <w:rsid w:val="004D4758"/>
    <w:rsid w:val="004D6203"/>
    <w:rsid w:val="004E12C9"/>
    <w:rsid w:val="004F119B"/>
    <w:rsid w:val="004F170C"/>
    <w:rsid w:val="004F51BA"/>
    <w:rsid w:val="00530415"/>
    <w:rsid w:val="00556080"/>
    <w:rsid w:val="00560AF8"/>
    <w:rsid w:val="005706BE"/>
    <w:rsid w:val="00571462"/>
    <w:rsid w:val="00582400"/>
    <w:rsid w:val="00592DA0"/>
    <w:rsid w:val="00596A8C"/>
    <w:rsid w:val="005B3CF2"/>
    <w:rsid w:val="005B43FA"/>
    <w:rsid w:val="005C0F1F"/>
    <w:rsid w:val="005D698D"/>
    <w:rsid w:val="005E23E9"/>
    <w:rsid w:val="005F5BB3"/>
    <w:rsid w:val="0060537C"/>
    <w:rsid w:val="006062C1"/>
    <w:rsid w:val="00613E74"/>
    <w:rsid w:val="0063245A"/>
    <w:rsid w:val="006510A9"/>
    <w:rsid w:val="006529B1"/>
    <w:rsid w:val="006663D5"/>
    <w:rsid w:val="00676F1F"/>
    <w:rsid w:val="0068169D"/>
    <w:rsid w:val="0068313D"/>
    <w:rsid w:val="006969FE"/>
    <w:rsid w:val="00696E0A"/>
    <w:rsid w:val="00697EAB"/>
    <w:rsid w:val="006B0527"/>
    <w:rsid w:val="006B1A93"/>
    <w:rsid w:val="006B1CD1"/>
    <w:rsid w:val="006C081B"/>
    <w:rsid w:val="006E1427"/>
    <w:rsid w:val="006E45FF"/>
    <w:rsid w:val="006E52D9"/>
    <w:rsid w:val="006E622C"/>
    <w:rsid w:val="006F2712"/>
    <w:rsid w:val="00705BAA"/>
    <w:rsid w:val="0071078B"/>
    <w:rsid w:val="007132C4"/>
    <w:rsid w:val="00713C82"/>
    <w:rsid w:val="00714555"/>
    <w:rsid w:val="007236FD"/>
    <w:rsid w:val="0074603D"/>
    <w:rsid w:val="00747375"/>
    <w:rsid w:val="00764EB3"/>
    <w:rsid w:val="00780596"/>
    <w:rsid w:val="00783CA1"/>
    <w:rsid w:val="007933BA"/>
    <w:rsid w:val="007A561A"/>
    <w:rsid w:val="007B3197"/>
    <w:rsid w:val="007B7B96"/>
    <w:rsid w:val="007C24B3"/>
    <w:rsid w:val="007D053A"/>
    <w:rsid w:val="007D1016"/>
    <w:rsid w:val="007D6BA9"/>
    <w:rsid w:val="007E3554"/>
    <w:rsid w:val="0081074D"/>
    <w:rsid w:val="00815E51"/>
    <w:rsid w:val="008225F3"/>
    <w:rsid w:val="00823211"/>
    <w:rsid w:val="008358CA"/>
    <w:rsid w:val="00850431"/>
    <w:rsid w:val="00860F7D"/>
    <w:rsid w:val="00861C82"/>
    <w:rsid w:val="00866181"/>
    <w:rsid w:val="008747C4"/>
    <w:rsid w:val="008945B7"/>
    <w:rsid w:val="008A1803"/>
    <w:rsid w:val="008B1D50"/>
    <w:rsid w:val="008C4302"/>
    <w:rsid w:val="008E00AA"/>
    <w:rsid w:val="0090046C"/>
    <w:rsid w:val="009063AF"/>
    <w:rsid w:val="00932021"/>
    <w:rsid w:val="009469F4"/>
    <w:rsid w:val="00946D5B"/>
    <w:rsid w:val="009548B8"/>
    <w:rsid w:val="00970A7F"/>
    <w:rsid w:val="00977EC3"/>
    <w:rsid w:val="00977F0F"/>
    <w:rsid w:val="00984DB8"/>
    <w:rsid w:val="009866B4"/>
    <w:rsid w:val="0099111C"/>
    <w:rsid w:val="00994CB2"/>
    <w:rsid w:val="00996510"/>
    <w:rsid w:val="009D12E0"/>
    <w:rsid w:val="009E3956"/>
    <w:rsid w:val="009F2705"/>
    <w:rsid w:val="009F6487"/>
    <w:rsid w:val="00A14817"/>
    <w:rsid w:val="00A367B3"/>
    <w:rsid w:val="00A40D8E"/>
    <w:rsid w:val="00A458A5"/>
    <w:rsid w:val="00A54D12"/>
    <w:rsid w:val="00A72A73"/>
    <w:rsid w:val="00A73AFF"/>
    <w:rsid w:val="00A76D41"/>
    <w:rsid w:val="00A83BDB"/>
    <w:rsid w:val="00AA3155"/>
    <w:rsid w:val="00AC1B3A"/>
    <w:rsid w:val="00AC5885"/>
    <w:rsid w:val="00AD05B4"/>
    <w:rsid w:val="00AD0E8A"/>
    <w:rsid w:val="00AF6697"/>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C0A83"/>
    <w:rsid w:val="00BC248E"/>
    <w:rsid w:val="00BC543C"/>
    <w:rsid w:val="00BD0D1C"/>
    <w:rsid w:val="00BD4C8D"/>
    <w:rsid w:val="00BE7F6D"/>
    <w:rsid w:val="00BF0675"/>
    <w:rsid w:val="00BF2DBF"/>
    <w:rsid w:val="00BF5820"/>
    <w:rsid w:val="00BF5AC4"/>
    <w:rsid w:val="00C12C03"/>
    <w:rsid w:val="00C3459A"/>
    <w:rsid w:val="00C35FC7"/>
    <w:rsid w:val="00C36995"/>
    <w:rsid w:val="00C608B0"/>
    <w:rsid w:val="00C60D7F"/>
    <w:rsid w:val="00C61AF1"/>
    <w:rsid w:val="00C91AFD"/>
    <w:rsid w:val="00CB5B2F"/>
    <w:rsid w:val="00CB78A8"/>
    <w:rsid w:val="00CD34F5"/>
    <w:rsid w:val="00CD4D07"/>
    <w:rsid w:val="00CF2C89"/>
    <w:rsid w:val="00D02705"/>
    <w:rsid w:val="00D106B5"/>
    <w:rsid w:val="00D12AEB"/>
    <w:rsid w:val="00D13677"/>
    <w:rsid w:val="00D17A92"/>
    <w:rsid w:val="00D26A97"/>
    <w:rsid w:val="00D40931"/>
    <w:rsid w:val="00D53755"/>
    <w:rsid w:val="00D54356"/>
    <w:rsid w:val="00D56704"/>
    <w:rsid w:val="00D757CB"/>
    <w:rsid w:val="00D76604"/>
    <w:rsid w:val="00D85967"/>
    <w:rsid w:val="00D92C4B"/>
    <w:rsid w:val="00D93FE7"/>
    <w:rsid w:val="00D9549C"/>
    <w:rsid w:val="00D97725"/>
    <w:rsid w:val="00DB73D7"/>
    <w:rsid w:val="00DC3D12"/>
    <w:rsid w:val="00DC55CE"/>
    <w:rsid w:val="00DE357D"/>
    <w:rsid w:val="00DF400C"/>
    <w:rsid w:val="00DF646E"/>
    <w:rsid w:val="00E02286"/>
    <w:rsid w:val="00E030D6"/>
    <w:rsid w:val="00E03D47"/>
    <w:rsid w:val="00E178B6"/>
    <w:rsid w:val="00E25C98"/>
    <w:rsid w:val="00E35914"/>
    <w:rsid w:val="00E47911"/>
    <w:rsid w:val="00E606B1"/>
    <w:rsid w:val="00E61646"/>
    <w:rsid w:val="00E66AEC"/>
    <w:rsid w:val="00E7368D"/>
    <w:rsid w:val="00E74C96"/>
    <w:rsid w:val="00E8374E"/>
    <w:rsid w:val="00E85604"/>
    <w:rsid w:val="00E920F2"/>
    <w:rsid w:val="00E96B26"/>
    <w:rsid w:val="00EA34D8"/>
    <w:rsid w:val="00EB05E2"/>
    <w:rsid w:val="00EB2124"/>
    <w:rsid w:val="00EC400A"/>
    <w:rsid w:val="00EE50AB"/>
    <w:rsid w:val="00EF689E"/>
    <w:rsid w:val="00F03719"/>
    <w:rsid w:val="00F22211"/>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56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Footnote Text Char Char,Footnote Text Char Char Char Char,Footnote Text Char Char Char Char Char Char,Footnote Text2,Footnote Text Char Char2,Footnote Text Char Char Char Char1"/>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Footnote Text Char Char Char,Footnote Text Char Char Char Char Char,Footnote Text Char Char Char Char Char Char Char,Footnote Text2 Char,Footnote Text Char Char2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 w:type="paragraph" w:customStyle="1" w:styleId="Abstrbody">
    <w:name w:val="Abstr_body"/>
    <w:qFormat/>
    <w:rsid w:val="006062C1"/>
    <w:pPr>
      <w:spacing w:after="240" w:line="240" w:lineRule="auto"/>
      <w:jc w:val="both"/>
    </w:pPr>
    <w:rPr>
      <w:rFonts w:ascii="Times New Roman" w:eastAsia="Calibri" w:hAnsi="Times New Roman" w:cs="Times New Roman"/>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wikipedia.org/wiki/U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s.wikipedia.org/wiki/Ljudska_prava" TargetMode="External"/><Relationship Id="rId4" Type="http://schemas.openxmlformats.org/officeDocument/2006/relationships/settings" Target="settings.xml"/><Relationship Id="rId9" Type="http://schemas.openxmlformats.org/officeDocument/2006/relationships/hyperlink" Target="http://bs.wikipedia.org/wiki/Pariz"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analitika.ba/files/Novi-stari%20ustavni%20inzenjering%25%2020u%25%2020BIH%2028april2011%20WEB%20FINAL.pdf" TargetMode="External"/><Relationship Id="rId1" Type="http://schemas.openxmlformats.org/officeDocument/2006/relationships/hyperlink" Target="http://www.mhrr.gov.ba/ured_zastupnika/novosti/?id=100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42</cp:revision>
  <dcterms:created xsi:type="dcterms:W3CDTF">2014-04-10T20:22:00Z</dcterms:created>
  <dcterms:modified xsi:type="dcterms:W3CDTF">2014-05-01T12:01:00Z</dcterms:modified>
</cp:coreProperties>
</file>