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4A55D4" w:rsidRPr="004A55D4" w:rsidRDefault="004A55D4" w:rsidP="004A55D4">
      <w:pPr>
        <w:spacing w:after="0" w:line="240" w:lineRule="auto"/>
        <w:jc w:val="center"/>
        <w:rPr>
          <w:rFonts w:ascii="Adobe Garamond Pro" w:hAnsi="Adobe Garamond Pro" w:cs="Times New Roman"/>
          <w:b/>
          <w:sz w:val="28"/>
          <w:szCs w:val="28"/>
          <w:lang w:val="bs-Latn-BA"/>
        </w:rPr>
      </w:pPr>
      <w:r w:rsidRPr="004A55D4">
        <w:rPr>
          <w:rFonts w:ascii="Adobe Garamond Pro" w:hAnsi="Adobe Garamond Pro" w:cs="Times New Roman"/>
          <w:b/>
          <w:sz w:val="28"/>
          <w:szCs w:val="28"/>
          <w:lang w:val="bs-Latn-BA"/>
        </w:rPr>
        <w:t xml:space="preserve">Doprinos </w:t>
      </w:r>
      <w:r w:rsidR="00217253">
        <w:rPr>
          <w:rFonts w:ascii="Adobe Garamond Pro" w:hAnsi="Adobe Garamond Pro" w:cs="Times New Roman"/>
          <w:b/>
          <w:sz w:val="28"/>
          <w:szCs w:val="28"/>
          <w:lang w:val="bs-Latn-BA"/>
        </w:rPr>
        <w:t>B</w:t>
      </w:r>
      <w:r w:rsidRPr="004A55D4">
        <w:rPr>
          <w:rFonts w:ascii="Adobe Garamond Pro" w:hAnsi="Adobe Garamond Pro" w:cs="Times New Roman"/>
          <w:b/>
          <w:sz w:val="28"/>
          <w:szCs w:val="28"/>
          <w:lang w:val="bs-Latn-BA"/>
        </w:rPr>
        <w:t xml:space="preserve">osne i </w:t>
      </w:r>
      <w:r w:rsidR="00217253">
        <w:rPr>
          <w:rFonts w:ascii="Adobe Garamond Pro" w:hAnsi="Adobe Garamond Pro" w:cs="Times New Roman"/>
          <w:b/>
          <w:sz w:val="28"/>
          <w:szCs w:val="28"/>
          <w:lang w:val="bs-Latn-BA"/>
        </w:rPr>
        <w:t>H</w:t>
      </w:r>
      <w:r w:rsidRPr="004A55D4">
        <w:rPr>
          <w:rFonts w:ascii="Adobe Garamond Pro" w:hAnsi="Adobe Garamond Pro" w:cs="Times New Roman"/>
          <w:b/>
          <w:sz w:val="28"/>
          <w:szCs w:val="28"/>
          <w:lang w:val="bs-Latn-BA"/>
        </w:rPr>
        <w:t xml:space="preserve">ercegovine formiranju sigurnosne zajednice </w:t>
      </w:r>
      <w:r w:rsidR="00D067D0">
        <w:rPr>
          <w:rFonts w:ascii="Adobe Garamond Pro" w:hAnsi="Adobe Garamond Pro" w:cs="Times New Roman"/>
          <w:b/>
          <w:sz w:val="28"/>
          <w:szCs w:val="28"/>
          <w:lang w:val="bs-Latn-BA"/>
        </w:rPr>
        <w:t>Z</w:t>
      </w:r>
      <w:r w:rsidRPr="004A55D4">
        <w:rPr>
          <w:rFonts w:ascii="Adobe Garamond Pro" w:hAnsi="Adobe Garamond Pro" w:cs="Times New Roman"/>
          <w:b/>
          <w:sz w:val="28"/>
          <w:szCs w:val="28"/>
          <w:lang w:val="bs-Latn-BA"/>
        </w:rPr>
        <w:t xml:space="preserve">apadnog </w:t>
      </w:r>
      <w:r w:rsidR="00D067D0">
        <w:rPr>
          <w:rFonts w:ascii="Adobe Garamond Pro" w:hAnsi="Adobe Garamond Pro" w:cs="Times New Roman"/>
          <w:b/>
          <w:sz w:val="28"/>
          <w:szCs w:val="28"/>
          <w:lang w:val="bs-Latn-BA"/>
        </w:rPr>
        <w:t>B</w:t>
      </w:r>
      <w:r w:rsidRPr="004A55D4">
        <w:rPr>
          <w:rFonts w:ascii="Adobe Garamond Pro" w:hAnsi="Adobe Garamond Pro" w:cs="Times New Roman"/>
          <w:b/>
          <w:sz w:val="28"/>
          <w:szCs w:val="28"/>
          <w:lang w:val="bs-Latn-BA"/>
        </w:rPr>
        <w:t>alkana</w:t>
      </w:r>
    </w:p>
    <w:p w:rsidR="002D2430" w:rsidRPr="00747375" w:rsidRDefault="002D2430" w:rsidP="004A55D4">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C12C03"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 d</w:t>
      </w:r>
      <w:r w:rsidR="00A72A73">
        <w:rPr>
          <w:rFonts w:ascii="Adobe Garamond Pro" w:hAnsi="Adobe Garamond Pro"/>
          <w:b/>
        </w:rPr>
        <w:t xml:space="preserve">r. </w:t>
      </w:r>
      <w:r w:rsidR="004A55D4">
        <w:rPr>
          <w:rFonts w:ascii="Adobe Garamond Pro" w:hAnsi="Adobe Garamond Pro"/>
          <w:b/>
        </w:rPr>
        <w:t>Kenan Dautović</w:t>
      </w:r>
    </w:p>
    <w:p w:rsidR="002D2430" w:rsidRDefault="004A55D4"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Centar za sigurnosne studije, Sarajevo</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A824C9" w:rsidP="002D2430">
      <w:pPr>
        <w:pStyle w:val="NoSpacing"/>
        <w:jc w:val="both"/>
        <w:rPr>
          <w:rFonts w:ascii="Adobe Garamond Pro" w:eastAsia="Times New Roman" w:hAnsi="Adobe Garamond Pro" w:cs="Garamond"/>
          <w:b/>
          <w:color w:val="000000"/>
          <w:lang w:val="bs-Latn-BA"/>
        </w:rPr>
      </w:pPr>
      <w:r w:rsidRPr="00A824C9">
        <w:rPr>
          <w:rFonts w:ascii="Adobe Garamond Pro" w:hAnsi="Adobe Garamond Pro"/>
          <w:i/>
          <w:noProof/>
          <w:lang w:val="bs-Latn-BA" w:eastAsia="bs-Latn-BA"/>
        </w:rPr>
        <w:pict>
          <v:rect id="_x0000_s1035" style="position:absolute;left:0;text-align:left;margin-left:-98.15pt;margin-top:4.2pt;width:339.9pt;height:348pt;z-index:-251658240" fillcolor="#f2f2f2 [3052]" stroked="f"/>
        </w:pict>
      </w:r>
      <w:r w:rsidRPr="00A824C9">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4A55D4" w:rsidRDefault="00A72A73" w:rsidP="004A55D4">
                  <w:pPr>
                    <w:spacing w:after="0" w:line="240" w:lineRule="auto"/>
                    <w:rPr>
                      <w:rFonts w:ascii="Adobe Garamond Pro" w:hAnsi="Adobe Garamond Pro"/>
                      <w:i/>
                      <w:sz w:val="20"/>
                      <w:szCs w:val="20"/>
                    </w:rPr>
                  </w:pPr>
                  <w:r w:rsidRPr="004A55D4">
                    <w:rPr>
                      <w:rFonts w:ascii="Adobe Garamond Pro" w:eastAsia="Times New Roman" w:hAnsi="Adobe Garamond Pro" w:cs="Times New Roman"/>
                      <w:b/>
                      <w:i/>
                      <w:sz w:val="20"/>
                      <w:szCs w:val="20"/>
                      <w:lang w:eastAsia="bs-Latn-BA"/>
                    </w:rPr>
                    <w:t>Ključne riječi:</w:t>
                  </w:r>
                  <w:r w:rsidRPr="004A55D4">
                    <w:rPr>
                      <w:rFonts w:ascii="Adobe Garamond Pro" w:eastAsia="Times New Roman" w:hAnsi="Adobe Garamond Pro" w:cs="Times New Roman"/>
                      <w:i/>
                      <w:sz w:val="20"/>
                      <w:szCs w:val="20"/>
                      <w:lang w:eastAsia="bs-Latn-BA"/>
                    </w:rPr>
                    <w:t xml:space="preserve"> </w:t>
                  </w:r>
                  <w:r w:rsidR="004A55D4" w:rsidRPr="004A55D4">
                    <w:rPr>
                      <w:rFonts w:ascii="Adobe Garamond Pro" w:hAnsi="Adobe Garamond Pro" w:cs="Times New Roman"/>
                      <w:i/>
                      <w:sz w:val="20"/>
                      <w:szCs w:val="20"/>
                      <w:lang w:val="bs-Latn-BA"/>
                    </w:rPr>
                    <w:t>sigurnosna zajednica, međunarodna praksa, regionalna saradnja, socijalizacija, Zapadni Balkan</w:t>
                  </w:r>
                </w:p>
              </w:txbxContent>
            </v:textbox>
          </v:shape>
        </w:pict>
      </w:r>
      <w:r w:rsidRPr="00A824C9">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4A55D4" w:rsidRPr="004A55D4" w:rsidRDefault="00BD0D1C" w:rsidP="004A55D4">
                  <w:pPr>
                    <w:spacing w:after="0" w:line="240" w:lineRule="auto"/>
                    <w:jc w:val="both"/>
                    <w:rPr>
                      <w:rFonts w:ascii="Adobe Garamond Pro" w:hAnsi="Adobe Garamond Pro" w:cs="Times New Roman"/>
                      <w:i/>
                      <w:sz w:val="20"/>
                      <w:szCs w:val="20"/>
                      <w:lang w:val="bs-Latn-BA"/>
                    </w:rPr>
                  </w:pPr>
                  <w:r w:rsidRPr="004A55D4">
                    <w:rPr>
                      <w:rFonts w:ascii="Adobe Garamond Pro" w:hAnsi="Adobe Garamond Pro" w:cs="Times New Roman"/>
                      <w:b/>
                      <w:i/>
                      <w:sz w:val="20"/>
                      <w:szCs w:val="20"/>
                      <w:lang w:val="hr-BA"/>
                    </w:rPr>
                    <w:t>Sažetak</w:t>
                  </w:r>
                  <w:r w:rsidR="004A55D4" w:rsidRPr="004A55D4">
                    <w:rPr>
                      <w:rFonts w:ascii="Adobe Garamond Pro" w:hAnsi="Adobe Garamond Pro" w:cs="Times New Roman"/>
                      <w:b/>
                      <w:i/>
                      <w:sz w:val="20"/>
                      <w:szCs w:val="20"/>
                      <w:lang w:val="hr-BA"/>
                    </w:rPr>
                    <w:t>:</w:t>
                  </w:r>
                  <w:r w:rsidR="004A55D4" w:rsidRPr="004A55D4">
                    <w:rPr>
                      <w:rFonts w:ascii="Adobe Garamond Pro" w:hAnsi="Adobe Garamond Pro" w:cs="Times New Roman"/>
                      <w:i/>
                      <w:sz w:val="20"/>
                      <w:szCs w:val="20"/>
                      <w:lang w:val="bs-Latn-BA"/>
                    </w:rPr>
                    <w:t xml:space="preserve"> Koncept sigurnosne zajednice, iako već dugo korišten u “zapadnoj” akademskoj teoriji i praksi, nedovoljno je poznat bosanskohercegovačkoj znanstvenoj i političkoj javnosti. Ovaj članak ima ambiciju da, stavljajući pojam sigurnosne zajednice u kontekst Zapadnog Balkana i konkretnog doprinosa Bosne i Hercegovine kreiranju ove “zone mira”, omogući njegovo kontekstualno razumjevanje. Ovo razumjevanje se, prije svega, odnosi na učešće Bosne i Hercegovine u regionalnoj saradnji u oblastima koje obuhvata sigurnosni sektor a u funkciji dostizanja međusobnih očekivanja da će se nesporazumi između susjeda rješavati mirnim putem i bez upotrebe nasilja. Analizirajući kvantitet i raznovrsnost regionalnih incijativa čiji je Bosna i Hercegovina aktivni sudionik može se zaključiti da Bosna i Hercegovina regionalnu suradnju vidi kao važan segmenat svoje vanjske politike, no ostaje da se istraži u kojoj mjeri je to zbog toga što približavanje euroatlanskim integracijama zahtijeva regionalni pristup, a u kojoj zbog toga što regionalna suradnja, posebice odnos sa susjedima doprinosi i njenoj unutrašnjoj stabilnosti. Upoređujući pak, međunarodnu praksu u vidu regionalne suradnje na Zapadnom Balkanu s ponuđenim teorjiskim okvirom, moglo bi se zaključiti da se na ovom području uočavaju konture sigurnosne zajednice a u pojedinim segmentima i suštinski napreci, no da se uglavnom radi o procesima koji su poticani izvan njenog područja – ponajviše iz prostora Euroatlanskih integracija, što nudi prostor za daljnja istraživanja ovog fenomena. </w:t>
                  </w:r>
                </w:p>
                <w:p w:rsidR="00C12C03" w:rsidRPr="004A55D4" w:rsidRDefault="00C12C03" w:rsidP="004A55D4">
                  <w:pPr>
                    <w:autoSpaceDE w:val="0"/>
                    <w:spacing w:after="0" w:line="240" w:lineRule="auto"/>
                    <w:jc w:val="both"/>
                    <w:rPr>
                      <w:rFonts w:ascii="Adobe Garamond Pro" w:hAnsi="Adobe Garamond Pro"/>
                      <w:i/>
                      <w:sz w:val="20"/>
                      <w:szCs w:val="20"/>
                      <w:lang w:val="bs-Latn-BA"/>
                    </w:rPr>
                  </w:pPr>
                </w:p>
                <w:p w:rsidR="00FF280B" w:rsidRPr="004A55D4" w:rsidRDefault="00FF280B" w:rsidP="004A55D4">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A824C9" w:rsidP="006062C1">
      <w:pPr>
        <w:rPr>
          <w:lang w:val="bs-Latn-BA"/>
        </w:rPr>
      </w:pPr>
      <w:r>
        <w:rPr>
          <w:noProof/>
          <w:lang w:val="bs-Latn-BA" w:eastAsia="bs-Latn-BA"/>
        </w:rPr>
        <w:lastRenderedPageBreak/>
        <w:pict>
          <v:rect id="_x0000_s1043" style="position:absolute;margin-left:-92.35pt;margin-top:5.1pt;width:339.9pt;height:336.85pt;z-index:-251651072" fillcolor="#f2f2f2 [3052]" stroked="f"/>
        </w:pict>
      </w:r>
      <w:r>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0D0D8D" w:rsidRPr="004A55D4" w:rsidRDefault="000D0D8D" w:rsidP="004A55D4">
                  <w:pPr>
                    <w:shd w:val="clear" w:color="auto" w:fill="FFFFFF"/>
                    <w:spacing w:after="0" w:line="240" w:lineRule="auto"/>
                    <w:rPr>
                      <w:rFonts w:ascii="Adobe Garamond Pro" w:hAnsi="Adobe Garamond Pro"/>
                      <w:bCs/>
                      <w:i/>
                      <w:iCs/>
                      <w:sz w:val="20"/>
                      <w:szCs w:val="20"/>
                      <w:lang w:val="bs-Latn-BA"/>
                    </w:rPr>
                  </w:pPr>
                  <w:r w:rsidRPr="004A55D4">
                    <w:rPr>
                      <w:rFonts w:ascii="Adobe Garamond Pro" w:eastAsia="Times New Roman" w:hAnsi="Adobe Garamond Pro" w:cs="Times New Roman"/>
                      <w:b/>
                      <w:i/>
                      <w:sz w:val="20"/>
                      <w:szCs w:val="20"/>
                      <w:lang w:eastAsia="bs-Latn-BA"/>
                    </w:rPr>
                    <w:t>Keywords:</w:t>
                  </w:r>
                  <w:r w:rsidRPr="004A55D4">
                    <w:rPr>
                      <w:rFonts w:ascii="Adobe Garamond Pro" w:eastAsia="Times New Roman" w:hAnsi="Adobe Garamond Pro" w:cs="Times New Roman"/>
                      <w:i/>
                      <w:sz w:val="20"/>
                      <w:szCs w:val="20"/>
                      <w:lang w:eastAsia="bs-Latn-BA"/>
                    </w:rPr>
                    <w:t xml:space="preserve"> </w:t>
                  </w:r>
                  <w:r w:rsidR="004A55D4" w:rsidRPr="004A55D4">
                    <w:rPr>
                      <w:rFonts w:ascii="Adobe Garamond Pro" w:hAnsi="Adobe Garamond Pro" w:cs="Times New Roman"/>
                      <w:i/>
                      <w:sz w:val="20"/>
                      <w:szCs w:val="20"/>
                      <w:lang w:val="bs-Latn-BA"/>
                    </w:rPr>
                    <w:t>security community, international practice, regional cooperation, socialization, Western Balkans</w:t>
                  </w:r>
                </w:p>
              </w:txbxContent>
            </v:textbox>
          </v:shape>
        </w:pict>
      </w:r>
      <w:r>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4A55D4" w:rsidRPr="004A55D4" w:rsidRDefault="000D0D8D" w:rsidP="004A55D4">
                  <w:pPr>
                    <w:spacing w:after="0" w:line="240" w:lineRule="auto"/>
                    <w:jc w:val="both"/>
                    <w:rPr>
                      <w:rFonts w:ascii="Adobe Garamond Pro" w:hAnsi="Adobe Garamond Pro" w:cs="Times New Roman"/>
                      <w:i/>
                      <w:sz w:val="20"/>
                      <w:szCs w:val="20"/>
                    </w:rPr>
                  </w:pPr>
                  <w:r w:rsidRPr="004A55D4">
                    <w:rPr>
                      <w:rFonts w:ascii="Adobe Garamond Pro" w:hAnsi="Adobe Garamond Pro" w:cs="Times New Roman"/>
                      <w:b/>
                      <w:i/>
                      <w:sz w:val="20"/>
                      <w:szCs w:val="20"/>
                      <w:lang w:val="hr-BA"/>
                    </w:rPr>
                    <w:t xml:space="preserve">Abstract: </w:t>
                  </w:r>
                  <w:r w:rsidR="004A55D4" w:rsidRPr="004A55D4">
                    <w:rPr>
                      <w:rFonts w:ascii="Adobe Garamond Pro" w:hAnsi="Adobe Garamond Pro" w:cs="Times New Roman"/>
                      <w:i/>
                      <w:sz w:val="20"/>
                      <w:szCs w:val="20"/>
                    </w:rPr>
                    <w:t xml:space="preserve">Security Community concept has been used within the „Western“academic theory and praxis long time ago, nevertheless it has not been widely known to the BiH academic and political public. This article has an ambitious to provide its contextual understanding by means of putting the term within the context of Western Balkans and look at the BiH contribution to building such a „zone of peace“. This understanding is primarily linked to the BiH participation in the regional cooperation in the areas that are related to the security sector in terms of achieving mutual expectations that all disputes among neighbours will be resolved by peaceful means and without resort to violence. Analyzing quantity and diversity of these regional initiatives in which BiH actively takes place one can conclude that BiH sees regional cooperation as a strong segment of its foreign policy; however it is to be researched to what extent it stands for important step towards Euro-Atlantic integration, or the extent to which regional cooperation, with its neighbours in particular, contributes to its domestic stability. Comparing though, international practice reified in regional cooperation within Western Balkans with elaborated theoretical framework one could also conclude that there are some nascent frames of the security community with some tangible progress in certain areas, but that this progress is mainly result of the strong influence exerted by the outside powers, mainly from the space of Euro-Atlantic integrations. This is not a conclusion of the article but rather space for further research of this phenomenon. </w:t>
                  </w:r>
                </w:p>
                <w:p w:rsidR="000D0D8D" w:rsidRPr="004A55D4" w:rsidRDefault="000D0D8D" w:rsidP="004A55D4">
                  <w:pPr>
                    <w:spacing w:after="0" w:line="240" w:lineRule="auto"/>
                    <w:jc w:val="both"/>
                    <w:rPr>
                      <w:rFonts w:ascii="Adobe Garamond Pro" w:hAnsi="Adobe Garamond Pro"/>
                      <w:i/>
                      <w:sz w:val="20"/>
                      <w:szCs w:val="20"/>
                      <w:lang w:val="bs-Latn-BA"/>
                    </w:rPr>
                  </w:pPr>
                </w:p>
                <w:p w:rsidR="000D0D8D" w:rsidRPr="004A55D4" w:rsidRDefault="000D0D8D" w:rsidP="004A55D4">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062C1" w:rsidRDefault="006062C1">
      <w:pPr>
        <w:rPr>
          <w:lang w:val="bs-Latn-BA"/>
        </w:rPr>
      </w:pPr>
      <w:r>
        <w:rPr>
          <w:lang w:val="bs-Latn-BA"/>
        </w:rPr>
        <w:br w:type="page"/>
      </w:r>
    </w:p>
    <w:p w:rsid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lastRenderedPageBreak/>
        <w:t>UVOD</w:t>
      </w:r>
    </w:p>
    <w:p w:rsidR="001909E5" w:rsidRPr="001909E5" w:rsidRDefault="001909E5" w:rsidP="001909E5">
      <w:pPr>
        <w:spacing w:after="0" w:line="240" w:lineRule="auto"/>
        <w:ind w:firstLine="720"/>
        <w:jc w:val="both"/>
        <w:rPr>
          <w:rFonts w:ascii="Adobe Garamond Pro" w:hAnsi="Adobe Garamond Pro" w:cs="Times New Roman"/>
          <w:b/>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Za ispitanike iz sastava Ministarstva odbrane i Oružanih snaga Bosne i Hercegovine</w:t>
      </w:r>
      <w:r w:rsidRPr="001909E5">
        <w:rPr>
          <w:rStyle w:val="FootnoteReference"/>
          <w:rFonts w:ascii="Adobe Garamond Pro" w:hAnsi="Adobe Garamond Pro" w:cs="Times New Roman"/>
          <w:sz w:val="20"/>
          <w:szCs w:val="20"/>
          <w:lang w:val="bs-Latn-BA"/>
        </w:rPr>
        <w:footnoteReference w:id="2"/>
      </w:r>
      <w:r w:rsidRPr="001909E5">
        <w:rPr>
          <w:rFonts w:ascii="Adobe Garamond Pro" w:hAnsi="Adobe Garamond Pro" w:cs="Times New Roman"/>
          <w:sz w:val="20"/>
          <w:szCs w:val="20"/>
          <w:lang w:val="bs-Latn-BA"/>
        </w:rPr>
        <w:t xml:space="preserve"> pojam Zapadnog Bakana u geografskom smislu predstavlja region koji se sastoji od država članica bivše Jugoslavije, bez Slovenije a sa Albanijom. U geostrateškom i geopolitičkom razumjevanju pak, radi se o dijelu Jugoistočne Evrope koji se približava Evropskoj uniji. U historijskom smislu, Zapadni Balkan znači jednu konfliktnu zonu koja je, istovremeno fragmentirana i sa nedostatkom tolerancije, ali i prostor označen svojevrsnom zajedničkom kulturom sastavljen od zemalja koje su međusobno povezane identičnim ili sličnim interesima, naposljetku i zajedničkom sudbinom. Emocionalno, radi se o državama i ljudima koji su živjeli u okviru istih granica a ponekad se radi o čisto virtualno-političkom terminu sa ekstremno negativnim implikacijama i obilježenim post-konfliktnim i nestabilnim državama, posrnulim ili državama u posrnuću. To je razlog zbog čega neke od regionalnih država nastoje da pobjegnu od samog naziva, ali i geografije.</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Već iz ove kratke elaboracije da se naslutiti da se radi o kontroverznom geopolitičkom pojmu čiji sami sudionici različito razumjevaju i doživljavaju. No, za potrebe ovog teksta biće dovoljno kazati da se radi o pojmu koji predstavlja eufemizam starobalkanskog “bureta baruta” i koji je skovan izvan a ne unutar regiona, što opet govori o nedostatku potrebnog nivoa identifikacije s onim što bi on trebao predstavljati. Geografski i politički preciznije rečeno, radi se o dijelu onoga što Evropska unija posmatra kao prostor Jugoistočne Evrope koji je, nakon Centralne Evrope bio na redu stabilizacije i eventualnog procesa proširenja. Da bi se pak, napravila jasna distinkcija između južnog i istočnog dijela Balkanskog poluostrva gdje se proces proširenja može smatrati završenim, i njegovog ostatka, osmišljen je naziv Zapadni Balkan.</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Dakle, suština je u regionalnom pristupu Evropske unije koji olakšava rad sa grupama država, ali ne nasumično odabranih već prostora koji imaju dovoljno zajedničkih sadržilaca da bi mogli lučiti zajedničke interese i sebe mogli identificirati sa zadatim geopolitičkim diskursom. U tom smislu, konstruktivistički obrt međunarodnih odnosa fokusira se na saradnju umjesto konfrontacije koja, institucionalno artikulirana, predstavlja platformu za međusobna susretanja, rješavanja nesporazuma mirnim putem i, u konačnici, stvaranja nove vrste identiteta koji će biti komplementaran već postojećim, dominantno nacionalnim.</w:t>
      </w:r>
    </w:p>
    <w:p w:rsid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lastRenderedPageBreak/>
        <w:t>Koncept sigurnosne zajednice</w:t>
      </w:r>
    </w:p>
    <w:p w:rsidR="001909E5" w:rsidRPr="001909E5" w:rsidRDefault="001909E5" w:rsidP="001909E5">
      <w:pPr>
        <w:spacing w:after="0" w:line="240" w:lineRule="auto"/>
        <w:jc w:val="both"/>
        <w:rPr>
          <w:rFonts w:ascii="Adobe Garamond Pro" w:hAnsi="Adobe Garamond Pro" w:cs="Times New Roman"/>
          <w:b/>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Iako se diktum Evropske unije, danas posmatra kao datost i nezavisna varijabla ipak se nakratko vrijedi podsjetiti na činjenicu da je sadašanja forma ujedinjene Evrope nastajala dugo i, vrlo često, u okruženju najkrvavijih sukoba koje je historija civilizacije upamtila. Iako je, u tom kontekstu, još kršćanska tradicija</w:t>
      </w:r>
      <w:r w:rsidRPr="001909E5">
        <w:rPr>
          <w:rStyle w:val="FootnoteReference"/>
          <w:rFonts w:ascii="Adobe Garamond Pro" w:hAnsi="Adobe Garamond Pro" w:cs="Times New Roman"/>
          <w:sz w:val="20"/>
          <w:szCs w:val="20"/>
          <w:lang w:val="bs-Latn-BA"/>
        </w:rPr>
        <w:footnoteReference w:id="3"/>
      </w:r>
      <w:r w:rsidRPr="001909E5">
        <w:rPr>
          <w:rFonts w:ascii="Adobe Garamond Pro" w:hAnsi="Adobe Garamond Pro" w:cs="Times New Roman"/>
          <w:sz w:val="20"/>
          <w:szCs w:val="20"/>
          <w:lang w:val="bs-Latn-BA"/>
        </w:rPr>
        <w:t xml:space="preserve"> srednjega vijeka zagovarala filozofiju da kraljevstva i države koje dijele ključne zajedničke vrijednosti ne bi trebali ratovati jedni protiv drugih, historijske činjenice potvrđuju da to vrlo često nije bio slučaj. Nasljeđujući crkvenu dogmu, i humanistička tradicija je, promovirajući čovjeka u vrhovnu vrijednost, podrazumjevala da krvavi sukobi nisu svojstveni ljudskom biću i da rat kao vrhunski oblik nasilja treba izopćiti iz odnosa među ljudima.</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 </w:t>
      </w:r>
      <w:r w:rsidRPr="001909E5">
        <w:rPr>
          <w:rFonts w:ascii="Adobe Garamond Pro" w:hAnsi="Adobe Garamond Pro" w:cs="Times New Roman"/>
          <w:sz w:val="20"/>
          <w:szCs w:val="20"/>
          <w:lang w:val="bs-Latn-BA"/>
        </w:rPr>
        <w:tab/>
        <w:t>Ipak, tek se Kant, koji je u svom traktatu o vječnom miru sistem osnovnih vrijednosti vezao za oblik upravljanja i politički sistem, smatra ocem teorije demokratskog mira koja u suštini sugerira da demokracije ne bi trebale ratovati protiv drugih demokracija. Institucionalizaciju ove teorije prvi je inaugurirao Woodrow Wilson kroz Ligu naroda a nakon najkrvavijeg sukoba koji je svijet do tada vidio u obliku I svjetskog rata. Ogromna stradanja i razaranja II svjetskog rata ponudiće novu organizaciju po uzoru na Ligu naroda – Ujedinjene narode. Nije potrebno posebno isticati da su najveći protagonisti, najveći gubitnici i najveći pobjednici ovoe kataklizme svjetskih razmjera opet bili iz reda evropskih naroda.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Na temelju tog gorkog iskustva, mudri lideri su ponudili alternativu ratu, razaranju i osveti u obliku pomirenja, pomoći i povjerenja. Tako će Marshallov plan ponuditi pomoć razorenoj Evropi, uključujući i Zapadnu Njemačku dok će Evropska zajednica za ugalj i čelik osigurati francusko-njemačko pomirenje ali i prihvatljivu kontrolu nad osnovnim sirovinama za proizvodnju naoružanja. Val pozitivnih promjena će u odbrambenom smislu iznjedriti Zapadnoevropsku uniju i NATO, dok će saradnja u ostalim oblastima života okončati onim što danas poznajemo kao Evropsku uniju.</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 xml:space="preserve">Sigurnosna zajednica </w:t>
      </w:r>
      <w:r>
        <w:rPr>
          <w:rFonts w:ascii="Adobe Garamond Pro" w:hAnsi="Adobe Garamond Pro" w:cs="Times New Roman"/>
          <w:b/>
          <w:lang w:val="bs-Latn-BA"/>
        </w:rPr>
        <w:t>-</w:t>
      </w:r>
      <w:r w:rsidRPr="001909E5">
        <w:rPr>
          <w:rFonts w:ascii="Adobe Garamond Pro" w:hAnsi="Adobe Garamond Pro" w:cs="Times New Roman"/>
          <w:b/>
          <w:lang w:val="bs-Latn-BA"/>
        </w:rPr>
        <w:t xml:space="preserve"> teorijski diskurs</w:t>
      </w:r>
    </w:p>
    <w:p w:rsidR="001909E5" w:rsidRPr="001909E5" w:rsidRDefault="001909E5" w:rsidP="001909E5">
      <w:pPr>
        <w:spacing w:after="0" w:line="240" w:lineRule="auto"/>
        <w:ind w:firstLine="720"/>
        <w:jc w:val="both"/>
        <w:rPr>
          <w:rFonts w:ascii="Adobe Garamond Pro" w:hAnsi="Adobe Garamond Pro" w:cs="Times New Roman"/>
          <w:i/>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Ovakav brzi razvoj međunarodne prakse, koji je rezultirao nizom međunarodnih institucija/organizacija neminovno je zahtijevao paradigmatsko podešavanje i u tom kontekstu su Deutsch i grupa naučnih radnika</w:t>
      </w:r>
      <w:r w:rsidRPr="001909E5">
        <w:rPr>
          <w:rStyle w:val="FootnoteReference"/>
          <w:rFonts w:ascii="Adobe Garamond Pro" w:hAnsi="Adobe Garamond Pro" w:cs="Times New Roman"/>
          <w:sz w:val="20"/>
          <w:szCs w:val="20"/>
          <w:lang w:val="bs-Latn-BA"/>
        </w:rPr>
        <w:footnoteReference w:id="4"/>
      </w:r>
      <w:r w:rsidRPr="001909E5">
        <w:rPr>
          <w:rFonts w:ascii="Adobe Garamond Pro" w:hAnsi="Adobe Garamond Pro" w:cs="Times New Roman"/>
          <w:sz w:val="20"/>
          <w:szCs w:val="20"/>
          <w:lang w:val="bs-Latn-BA"/>
        </w:rPr>
        <w:t xml:space="preserve"> nastojali objasniti posebnu formu političke zajednice koju su nazvali sigurnosna zajednica. Pritom, politička zajednica podrazumjeva „društvenu grupu sa procesom političkih komunikacija, nekom mašinerijom za prinudu, i </w:t>
      </w:r>
      <w:r w:rsidRPr="001909E5">
        <w:rPr>
          <w:rFonts w:ascii="Adobe Garamond Pro" w:hAnsi="Adobe Garamond Pro" w:cs="Times New Roman"/>
          <w:sz w:val="20"/>
          <w:szCs w:val="20"/>
          <w:lang w:val="bs-Latn-BA"/>
        </w:rPr>
        <w:lastRenderedPageBreak/>
        <w:t>nekim općim navikama pridržavanja“ (određenih normi op. a.). No, kako ovako definirana politička zajednica nužno nije u stanju da „spriječi rat na području koje pokriva“, autori su se fokusirali na sigurnosnu zajednicu koja predstavlja „grupu ljudi koja je integrirana“ do mjere da postoji „realno uvjerenje da se članovi te zajednice neće sukobiti fizički nego će svoje nesporazume rješavati na neki drugi način“. Međutim, osnovu ovakvog pristupa zapravo čine „međusobna očekivanja“ koja će Deutsch u konačnici nazvati „međusobnim očekivanjima miroljubivih promjena“.</w:t>
      </w:r>
      <w:r w:rsidRPr="001909E5">
        <w:rPr>
          <w:rStyle w:val="FootnoteReference"/>
          <w:rFonts w:ascii="Adobe Garamond Pro" w:hAnsi="Adobe Garamond Pro" w:cs="Times New Roman"/>
          <w:sz w:val="20"/>
          <w:szCs w:val="20"/>
          <w:lang w:val="bs-Latn-BA"/>
        </w:rPr>
        <w:footnoteReference w:id="5"/>
      </w:r>
      <w:r w:rsidRPr="001909E5">
        <w:rPr>
          <w:rFonts w:ascii="Adobe Garamond Pro" w:hAnsi="Adobe Garamond Pro" w:cs="Times New Roman"/>
          <w:sz w:val="20"/>
          <w:szCs w:val="20"/>
          <w:lang w:val="bs-Latn-BA"/>
        </w:rPr>
        <w:t xml:space="preserve"> Dakle, osnovne značajke ovakvog pristupa čine uzajamnost i povjerenje, i to povjerenje koje se ne zasniva na pravnim garancijama već na temelju uvjerenja da strane u nesporazumu dijele zajedničke vrijednosti i zajedničko razumjevanje problema s kojima se susreću.</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Adler i Barnett su 24 godine kasnije pohvalili Deutschov doprinos naučnoj disciplini međunarodnih odnosa ali su ipak smatrali njegov „kvantificirani tok transakcija“ previše uskim da bi se razumjele društvene promjene koje su „obuhvaćene i nastaju putem tih transakcija“.</w:t>
      </w:r>
      <w:r w:rsidRPr="001909E5">
        <w:rPr>
          <w:rStyle w:val="FootnoteReference"/>
          <w:rFonts w:ascii="Adobe Garamond Pro" w:hAnsi="Adobe Garamond Pro" w:cs="Times New Roman"/>
          <w:sz w:val="20"/>
          <w:szCs w:val="20"/>
          <w:lang w:val="bs-Latn-BA"/>
        </w:rPr>
        <w:footnoteReference w:id="6"/>
      </w:r>
      <w:r w:rsidRPr="001909E5">
        <w:rPr>
          <w:rFonts w:ascii="Adobe Garamond Pro" w:hAnsi="Adobe Garamond Pro" w:cs="Times New Roman"/>
          <w:sz w:val="20"/>
          <w:szCs w:val="20"/>
          <w:lang w:val="bs-Latn-BA"/>
        </w:rPr>
        <w:t xml:space="preserve"> Ukratko, povećani broj institucionaliziranih i neistitucionaliziranih susreta ili zajedničkih aktivnosti ne mora nužno dati odgovor na pitanje kada i da li taj broj počinje da stvara društvenu promjenu kod učesnika u pogledu promjene vlastitih stavova, pa čak i izmjene identiteta.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Ovakav postepeni razvoj autori analitički organiziraju unutar tri koncentrična kruga, počinjući sa „omogućavajućim“ uvjetima od čijeg prisustva ili odsustva zavisi postojanje sigurnosne zajednice. Naredni nivo predstavljaju varijable procesa kao što su transakcije, organizacije i proces društvenog učenja te strukturalne varijable kao što su moć i znanje, koje suštinski čine institucionalni okvir u kojem učesnici razvijaju znanje o dijeljenim vrijednostima i normama. Konačno, ovako koncipiran proces socijalizacije može proizvesti „međusobno povjerenje i zajednički identitet“ kao potpuno nove vrijednosti ovog procesa.</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 </w:t>
      </w: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Međunarodna praksa</w:t>
      </w:r>
    </w:p>
    <w:p w:rsidR="001909E5" w:rsidRPr="001909E5" w:rsidRDefault="001909E5" w:rsidP="001909E5">
      <w:pPr>
        <w:spacing w:after="0" w:line="240" w:lineRule="auto"/>
        <w:ind w:firstLine="720"/>
        <w:jc w:val="both"/>
        <w:rPr>
          <w:rFonts w:ascii="Adobe Garamond Pro" w:hAnsi="Adobe Garamond Pro" w:cs="Times New Roman"/>
          <w:i/>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Institucionalni okvir koji se pominje u okviru drugog koncentričnog kruga zapravo predstavlja platformu na kojoj se, nakon postojanja potrebnih i dovoljnih uvjeta u vidu intervenirajuće varijable, dešavaju sve one transakcije o kojima je govorio Deutsch. Međutim, taj institucionalni okvir ne predstavlja neki teleološki ili heuristički okvir iz svijeta teorije već je rezultat međunarodne prakse čijim radom su kreirane stvarne međunarodne organizacije i institucije. U tom kontekstu, za Adlera i Pouliotta</w:t>
      </w:r>
      <w:r w:rsidRPr="001909E5">
        <w:rPr>
          <w:rStyle w:val="FootnoteReference"/>
          <w:rFonts w:ascii="Adobe Garamond Pro" w:hAnsi="Adobe Garamond Pro" w:cs="Times New Roman"/>
          <w:sz w:val="20"/>
          <w:szCs w:val="20"/>
          <w:lang w:val="bs-Latn-BA"/>
        </w:rPr>
        <w:footnoteReference w:id="7"/>
      </w:r>
      <w:r w:rsidRPr="001909E5">
        <w:rPr>
          <w:rFonts w:ascii="Adobe Garamond Pro" w:hAnsi="Adobe Garamond Pro" w:cs="Times New Roman"/>
          <w:sz w:val="20"/>
          <w:szCs w:val="20"/>
          <w:lang w:val="bs-Latn-BA"/>
        </w:rPr>
        <w:t xml:space="preserve"> praksa kao pojam ne postoji izvan „njene </w:t>
      </w:r>
      <w:r w:rsidRPr="001909E5">
        <w:rPr>
          <w:rFonts w:ascii="Adobe Garamond Pro" w:hAnsi="Adobe Garamond Pro" w:cs="Times New Roman"/>
          <w:sz w:val="20"/>
          <w:szCs w:val="20"/>
          <w:lang w:val="bs-Latn-BA"/>
        </w:rPr>
        <w:lastRenderedPageBreak/>
        <w:t>dinamike ili procesa“; ona je neka vrsta obrasca koji podrazumjeva „određenu regularnost u pogledu vremena i prostora“; ona je kompetentna, gdje kompetencija podrazumjeva vezanost za društvene odnose; i ona se oslanja na određenu vrstu prethodnog znanja. Međunarodna praksa pak, podrazumjeva društveno organiziranu aktivnost koja se odnosi na šire shvaćenu svjetsku politiku. Takva međunarodna praksa je materijalizirana u vidu različitih kongresa, konferencija, foruma ili u vidu pojedinih institucija i organizacija kao što su Ujedinjeni narodi, NATO savez, Evropska unija i slično.</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 xml:space="preserve">Socijalizacija </w:t>
      </w:r>
    </w:p>
    <w:p w:rsidR="001909E5" w:rsidRPr="001909E5" w:rsidRDefault="001909E5" w:rsidP="001909E5">
      <w:pPr>
        <w:spacing w:after="0" w:line="240" w:lineRule="auto"/>
        <w:ind w:firstLine="720"/>
        <w:jc w:val="both"/>
        <w:rPr>
          <w:rFonts w:ascii="Adobe Garamond Pro" w:hAnsi="Adobe Garamond Pro" w:cs="Times New Roman"/>
          <w:i/>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Jednom kada je formirana euroatlanska „zona mira“ ponajviše artikulirana kroz NATO savez i EU ukazala se potreba i prilika da se ova uspješna formula proširi i na periferiju kako bi se stvorio što veći krug istomišljenika i onih koji su spremni da dijele zajedničke vrijednosti, norme i stil života. Naravno, moralni autiritet za ovakvu geopolitičku viziju crpljen je iz konačne pobjede i „kraja historije“ oličene u liberalnoj demokraciji. Pragmatična formula za realizaciju ovog važnog projekta nalazila se u magično-privlačnoj moći partnerstva, koje bi, ukoliko dobije na potrebnoj kvaliteti, moglo okončati i punopravnim članstvom koje sa sobom donosi puni spektar benefita koje ove organizacije nude. Njihova odvojiva, ali ne i odvojena priroda sugerirala je redoslijed gdje je NATO trebao da omogući sigurnost, a EU razvoj. Strategija odabrana za ovu misiju bazirala se na dobrovoljnoj socijalizaciji, gdje socijalizacija predstavlja „proces uvođenja subjekata u okvir normi i pravila određene zajednice“.</w:t>
      </w:r>
      <w:r w:rsidRPr="001909E5">
        <w:rPr>
          <w:rStyle w:val="FootnoteReference"/>
          <w:rFonts w:ascii="Adobe Garamond Pro" w:hAnsi="Adobe Garamond Pro" w:cs="Times New Roman"/>
          <w:sz w:val="20"/>
          <w:szCs w:val="20"/>
          <w:lang w:val="bs-Latn-BA"/>
        </w:rPr>
        <w:footnoteReference w:id="8"/>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U tom kontekstu, države partneri i eventualni aspiranti za punopravno članstvo u ove dvije institucije kombinacijom uslovljavanja i nagrađivanja bivaju socijalizirani do tačke u kojoj su zadate norme i pravila pravilno primjenjivani i usvojeni kao obrazac ponašanja. Kako se u tom slučaju radi o  postepenom procesu, Checkel je ponudio mehanizme kroz koje se proces socijalizacije može odvijati. Strateška kalkulacija prati „logiku posljedica“</w:t>
      </w:r>
      <w:r w:rsidRPr="001909E5">
        <w:rPr>
          <w:rStyle w:val="FootnoteReference"/>
          <w:rFonts w:ascii="Adobe Garamond Pro" w:hAnsi="Adobe Garamond Pro" w:cs="Times New Roman"/>
          <w:sz w:val="20"/>
          <w:szCs w:val="20"/>
          <w:lang w:val="bs-Latn-BA"/>
        </w:rPr>
        <w:footnoteReference w:id="9"/>
      </w:r>
      <w:r w:rsidRPr="001909E5">
        <w:rPr>
          <w:rFonts w:ascii="Adobe Garamond Pro" w:hAnsi="Adobe Garamond Pro" w:cs="Times New Roman"/>
          <w:sz w:val="20"/>
          <w:szCs w:val="20"/>
          <w:lang w:val="bs-Latn-BA"/>
        </w:rPr>
        <w:t xml:space="preserve"> i zasniva se gotovo isključivo na procjeni isplativosti određenog ponašanja. Ovaj mehanizam primjenjen samostalno ne nudi prostor za bilo koju vrstu ili nivo socijalizacije. Međutim, kada ponašanje određene države počne pratiti „logiku primjerenosti“</w:t>
      </w:r>
      <w:r w:rsidRPr="001909E5">
        <w:rPr>
          <w:rStyle w:val="FootnoteReference"/>
          <w:rFonts w:ascii="Adobe Garamond Pro" w:hAnsi="Adobe Garamond Pro" w:cs="Times New Roman"/>
          <w:sz w:val="20"/>
          <w:szCs w:val="20"/>
          <w:lang w:val="bs-Latn-BA"/>
        </w:rPr>
        <w:footnoteReference w:id="10"/>
      </w:r>
      <w:r w:rsidRPr="001909E5">
        <w:rPr>
          <w:rFonts w:ascii="Adobe Garamond Pro" w:hAnsi="Adobe Garamond Pro" w:cs="Times New Roman"/>
          <w:sz w:val="20"/>
          <w:szCs w:val="20"/>
          <w:lang w:val="bs-Latn-BA"/>
        </w:rPr>
        <w:t xml:space="preserve"> tada se dešava promjena koja se karakterizira tzv. „igranjem uloge“, odnosno ponašanjem očekivanim u određenoj situaciji. Ova vrsta  internalizacije nazvana „Tip I“ najbolje se odvija u uvjetima dugotrajnih i intenzivnih kontakata (transakcija) putem zajedničkih sastanaka, radionica, posjeta i sl. No, kada mehanizam „igranje uloge“ koji podrazumjeva „pasivno i nekalkulativno usvajanje novih uloga“ bude zamijenjen mehanizmom „normativnog ubjeđivanja/utjecaja“ koje nastaje „aktivnim i refleksivnim usvajanjem“, čak i prilagođavanjem novih normi, onda započinje </w:t>
      </w:r>
      <w:r w:rsidRPr="001909E5">
        <w:rPr>
          <w:rFonts w:ascii="Adobe Garamond Pro" w:hAnsi="Adobe Garamond Pro" w:cs="Times New Roman"/>
          <w:sz w:val="20"/>
          <w:szCs w:val="20"/>
          <w:lang w:val="bs-Latn-BA"/>
        </w:rPr>
        <w:lastRenderedPageBreak/>
        <w:t xml:space="preserve">„Tip II“ internalizacije. Ovakav pristup u dobroj mjeri liči na generacijski koncept reforme sektora sigurnosti (SSR) gdje I generacija SSR podrazumjeva usvajanje normativnog okvira i formiranje svih potrebnih institucija, dok II generacija SSR zahtijeva „ulijevanje demokratskog sadržaja“ u već formirani normativni okvir. To pak, podrazumjeva suštinsko usvajanje normi kao sopstvenih pravila ponašanja i njihovu kreativnu i kontekstualnu primjenu.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Dakle, kako to sugerira Poulliot,</w:t>
      </w:r>
      <w:r w:rsidRPr="001909E5">
        <w:rPr>
          <w:rStyle w:val="FootnoteReference"/>
          <w:rFonts w:ascii="Adobe Garamond Pro" w:hAnsi="Adobe Garamond Pro" w:cs="Times New Roman"/>
          <w:sz w:val="20"/>
          <w:szCs w:val="20"/>
          <w:lang w:val="bs-Latn-BA"/>
        </w:rPr>
        <w:footnoteReference w:id="11"/>
      </w:r>
      <w:r w:rsidRPr="001909E5">
        <w:rPr>
          <w:rFonts w:ascii="Adobe Garamond Pro" w:hAnsi="Adobe Garamond Pro" w:cs="Times New Roman"/>
          <w:sz w:val="20"/>
          <w:szCs w:val="20"/>
          <w:lang w:val="bs-Latn-BA"/>
        </w:rPr>
        <w:t xml:space="preserve"> u društvenom i političkom životu mnoge prakse primarno ne nastaju iz instrumentalne racionalnosti (logike posljedica), praćenja normi (logike primjerenosti) ili komunikativne akcije (logike rasprave) već se one dešavaju i u skladu sa „logikom praktičnosti“ koja se zasniva na neartikuliranom znanju tzv.  „know-how“, čineći ono što treba da se radi „očiglednim ili zdravorazumskim“. U tom smislu, odličan primjer predstavlja povjerenje koje Adler i Barnett</w:t>
      </w:r>
      <w:r w:rsidRPr="001909E5">
        <w:rPr>
          <w:rStyle w:val="FootnoteReference"/>
          <w:rFonts w:ascii="Adobe Garamond Pro" w:hAnsi="Adobe Garamond Pro" w:cs="Times New Roman"/>
          <w:sz w:val="20"/>
          <w:szCs w:val="20"/>
          <w:lang w:val="bs-Latn-BA"/>
        </w:rPr>
        <w:footnoteReference w:id="12"/>
      </w:r>
      <w:r w:rsidRPr="001909E5">
        <w:rPr>
          <w:rFonts w:ascii="Adobe Garamond Pro" w:hAnsi="Adobe Garamond Pro" w:cs="Times New Roman"/>
          <w:sz w:val="20"/>
          <w:szCs w:val="20"/>
          <w:lang w:val="bs-Latn-BA"/>
        </w:rPr>
        <w:t xml:space="preserve"> vide kao drugi konstitutivni element sigurnosne zajednice i definiraju ga kao „vjerovanje usprkos neizvjesnosti“. Na osnovi personalne i kolektivne historije (habitusa) i suočeni sa posebnim društvenim kontekstom (poljem), sigurnosni praktičari „osjećaju“ (praktički osjećaj) da mogu vjerovati uprkos neizvjesnosti – imaju povjerenje u druge članove sigurnosne zajednice.</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Sigurnosna zajednica u praksi - regionalna saradnja</w:t>
      </w:r>
    </w:p>
    <w:p w:rsidR="001909E5" w:rsidRPr="001909E5" w:rsidRDefault="001909E5" w:rsidP="001909E5">
      <w:pPr>
        <w:spacing w:after="0" w:line="240" w:lineRule="auto"/>
        <w:ind w:firstLine="720"/>
        <w:jc w:val="both"/>
        <w:rPr>
          <w:rFonts w:ascii="Adobe Garamond Pro" w:hAnsi="Adobe Garamond Pro" w:cs="Times New Roman"/>
          <w:i/>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Ova kratka elaboracija ključnih pojmova omogućila je uvid u postojanje najmanje dvije značajne logičke vertikale. Prva se odnosi na osnovni supstrat sigurnosne zajednice artikuliran kroz međusobna očekivanja miroljubivih promjena u funkciji izgradnje i dostizanja povjerenja između njenih članova. Druga vertikala se tiče praktične realizacije koncepta sigurnosne zajednice zasnovanog na mnoštvu kontakata, vođenih različitim vrstama logika u zavisnih od sopstvenih interesa i nivoa ambicija, koji teže ka dobijanju svojih institucionalnih oblika. U slučaju euroatlanske sigurnosne zajednice radi se o dvije ključne organizacije: NATO i EU, pomoću kojih se nastoji proširiti „zona mira“ i sigurnosti koristeći mehanizam dobrovoljne socijalizacije u kojem učestvuju sve zemlje koje žele partnersto ili članstvo u jednoj ili obe od njih.</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S obzirom da je pojam sigurnosne zajednice prilično složen za razumjevanje i istraživanje onda se on operacionalizira (ne i redukuje) pojmom saradnje, što potvrđuje i Van Wagenen</w:t>
      </w:r>
      <w:r w:rsidRPr="001909E5">
        <w:rPr>
          <w:rStyle w:val="FootnoteReference"/>
          <w:rFonts w:ascii="Adobe Garamond Pro" w:hAnsi="Adobe Garamond Pro" w:cs="Times New Roman"/>
          <w:sz w:val="20"/>
          <w:szCs w:val="20"/>
          <w:lang w:val="bs-Latn-BA"/>
        </w:rPr>
        <w:footnoteReference w:id="13"/>
      </w:r>
      <w:r w:rsidRPr="001909E5">
        <w:rPr>
          <w:rFonts w:ascii="Adobe Garamond Pro" w:hAnsi="Adobe Garamond Pro" w:cs="Times New Roman"/>
          <w:sz w:val="20"/>
          <w:szCs w:val="20"/>
          <w:lang w:val="bs-Latn-BA"/>
        </w:rPr>
        <w:t xml:space="preserve"> potencirajući njena dva aspekta: saradnju, kao ohrabrivanje „bliže kompatibilnosti vrijednosti“ i sigurnosti kao okruženja „miroljubive koegzistencije“. Imajući u vidu da pojam i praksa sigurnosne zajednice naprosto podrazumjevaju regionalni pristup onda sa u </w:t>
      </w:r>
      <w:r w:rsidRPr="001909E5">
        <w:rPr>
          <w:rFonts w:ascii="Adobe Garamond Pro" w:hAnsi="Adobe Garamond Pro" w:cs="Times New Roman"/>
          <w:sz w:val="20"/>
          <w:szCs w:val="20"/>
          <w:lang w:val="bs-Latn-BA"/>
        </w:rPr>
        <w:lastRenderedPageBreak/>
        <w:t>potpunosti raščarava potenciranje NATO i EU na regionalnoj saradnji prilikom procesa socijalizacije i širenja evroatlanske zone mira i sigurnosti.</w:t>
      </w:r>
      <w:r w:rsidRPr="001909E5">
        <w:rPr>
          <w:rFonts w:ascii="Adobe Garamond Pro" w:hAnsi="Adobe Garamond Pro" w:cs="Times New Roman"/>
          <w:sz w:val="20"/>
          <w:szCs w:val="20"/>
          <w:lang w:val="bs-Latn-BA"/>
        </w:rPr>
        <w:tab/>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Sigurnosni sektor BiH u kontekstu regionalne saradnje</w:t>
      </w:r>
    </w:p>
    <w:p w:rsidR="001909E5" w:rsidRPr="001909E5" w:rsidRDefault="001909E5" w:rsidP="001909E5">
      <w:pPr>
        <w:spacing w:after="0" w:line="240" w:lineRule="auto"/>
        <w:ind w:firstLine="720"/>
        <w:jc w:val="both"/>
        <w:rPr>
          <w:rFonts w:ascii="Adobe Garamond Pro" w:hAnsi="Adobe Garamond Pro" w:cs="Times New Roman"/>
          <w:b/>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Sada kada je objašnjen regionalni pristup NATO i EU u teorijskom smislu, može se pristupiti analizi njegove konkretne realizacije na prostoru Zapadnog Balkana. U tom slučaju pojmovi međunarodne prakse, različitih logika i vrsta socijalizacije bivaju zamijenjeni instrumentima (prakse) kao što su Partnerstvo za mir, Sporazum o stabilizaciji i pridruživanju i sl.</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U tom kontekstu, ovaj dio rada će pratiti matricu koja će sveobuhvatnost sigurnosnog sektora BiH obuhvatiti kroz prizme NATO, Evropske unije, te inicijativa koje su inherentno nastale na prostoru Zapadnog Balkana. Dok se inicijative NATO i EU mogu posmatrati kao mehanizmi vanjske socijalizacije, incijative koje su nastale na balkanskom</w:t>
      </w:r>
      <w:r w:rsidRPr="001909E5">
        <w:rPr>
          <w:rStyle w:val="FootnoteReference"/>
          <w:rFonts w:ascii="Adobe Garamond Pro" w:hAnsi="Adobe Garamond Pro" w:cs="Times New Roman"/>
          <w:sz w:val="20"/>
          <w:szCs w:val="20"/>
          <w:lang w:val="bs-Latn-BA"/>
        </w:rPr>
        <w:footnoteReference w:id="14"/>
      </w:r>
      <w:r w:rsidRPr="001909E5">
        <w:rPr>
          <w:rFonts w:ascii="Adobe Garamond Pro" w:hAnsi="Adobe Garamond Pro" w:cs="Times New Roman"/>
          <w:sz w:val="20"/>
          <w:szCs w:val="20"/>
          <w:lang w:val="bs-Latn-BA"/>
        </w:rPr>
        <w:t xml:space="preserve"> prostoru svjedoče o usvajanju određenih normi i pravila ponašanja. Ipak, ostaje da se vidi o kojoj vrsti Checkelove, Bourdieuove i/ili Poulliotove logike pripadaju te aktivnosti.</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 xml:space="preserve">Druga metodološka napomena odnosi se na analizu učešća BiH u ovim inicijativama i organizacijama što će poslužiti sintentitiziranju konačnog zaključka o mjeri u kojoj BiH doprinosi izgradnji sigurnosne zajednice na Zapadnom Balkanu.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pStyle w:val="NormalWeb"/>
        <w:shd w:val="clear" w:color="auto" w:fill="FFFFFF" w:themeFill="background1"/>
        <w:spacing w:before="0" w:beforeAutospacing="0" w:after="0" w:afterAutospacing="0"/>
        <w:jc w:val="both"/>
        <w:rPr>
          <w:rFonts w:ascii="Adobe Garamond Pro" w:hAnsi="Adobe Garamond Pro"/>
          <w:sz w:val="20"/>
          <w:szCs w:val="20"/>
        </w:rPr>
      </w:pPr>
      <w:r w:rsidRPr="001909E5">
        <w:rPr>
          <w:rFonts w:ascii="Adobe Garamond Pro" w:hAnsi="Adobe Garamond Pro"/>
          <w:sz w:val="20"/>
          <w:szCs w:val="20"/>
        </w:rPr>
        <w:tab/>
        <w:t>I konačno, prije nego se pređe na analizu pojedinačnih incijativa važno je napomenuti odnos osnovnih političko-strateških dokumenata prema regionalnoj suradnji. Tako Osnovni pravci vanjske politike artikulirani od Predsjedništva BiH kao Opći pravci i prioriteti za provođenje vanjske politike BiH iz 2003.godine reguliraju da će Bosna i Hercegovina, kao „suverena i međunarodno priznata država, sarađivat u međunarodnim, odnosno bilateralnim, regionalnim i globalnim okvirima“, te da će „s ciljem daljeg razvijanja dobrih odnosa, postizanja trajne stabilnosti, sigurnosti i ekonomskog prosperiteta, posebna pažnja biti usmjerena na aktivnosti u okviru regionalne i subregionalne saradnje“.</w:t>
      </w:r>
      <w:r w:rsidRPr="001909E5">
        <w:rPr>
          <w:rStyle w:val="FootnoteReference"/>
          <w:rFonts w:ascii="Adobe Garamond Pro" w:hAnsi="Adobe Garamond Pro"/>
          <w:sz w:val="20"/>
          <w:szCs w:val="20"/>
        </w:rPr>
        <w:footnoteReference w:id="15"/>
      </w:r>
      <w:r w:rsidRPr="001909E5">
        <w:rPr>
          <w:rFonts w:ascii="Adobe Garamond Pro" w:hAnsi="Adobe Garamond Pro"/>
          <w:sz w:val="20"/>
          <w:szCs w:val="20"/>
        </w:rPr>
        <w:t>  U tom kontekstu sigurnosno okruženje razmatrano u Sigurnosnoj politici iz 2006. godine potvrđuje „značajan napredak i vidno poboljšanje sigurnosnog okruženja na Balkanu“ gdje su sve zemlje „opredijeljene za evropske i evroatlanske integracijeske procese, da aktivno učestvuju u radu različitih regionalnih asocijacija, te da razvijaju i unapređuju bilateralnu i multilateralnu saradnju“. Zbog toga mogućnost vanjske agresije na BiH u „nekoj bližoj budućnosti“, „praktično i ne postoji“.</w:t>
      </w:r>
      <w:r w:rsidRPr="001909E5">
        <w:rPr>
          <w:rStyle w:val="FootnoteReference"/>
          <w:rFonts w:ascii="Adobe Garamond Pro" w:hAnsi="Adobe Garamond Pro"/>
          <w:sz w:val="20"/>
          <w:szCs w:val="20"/>
        </w:rPr>
        <w:footnoteReference w:id="16"/>
      </w:r>
      <w:r w:rsidRPr="001909E5">
        <w:rPr>
          <w:rFonts w:ascii="Adobe Garamond Pro" w:hAnsi="Adobe Garamond Pro"/>
          <w:sz w:val="20"/>
          <w:szCs w:val="20"/>
        </w:rPr>
        <w:t xml:space="preserve"> </w:t>
      </w:r>
    </w:p>
    <w:p w:rsidR="001909E5" w:rsidRPr="001909E5" w:rsidRDefault="001909E5" w:rsidP="001909E5">
      <w:pPr>
        <w:pStyle w:val="NormalWeb"/>
        <w:shd w:val="clear" w:color="auto" w:fill="FFFFFF" w:themeFill="background1"/>
        <w:spacing w:before="0" w:beforeAutospacing="0" w:after="0" w:afterAutospacing="0"/>
        <w:rPr>
          <w:rFonts w:ascii="Adobe Garamond Pro" w:hAnsi="Adobe Garamond Pro"/>
          <w:sz w:val="20"/>
          <w:szCs w:val="20"/>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lastRenderedPageBreak/>
        <w:t>NATO inicijative</w:t>
      </w:r>
    </w:p>
    <w:p w:rsidR="001909E5" w:rsidRPr="001909E5" w:rsidRDefault="001909E5" w:rsidP="001909E5">
      <w:pPr>
        <w:spacing w:after="0" w:line="240" w:lineRule="auto"/>
        <w:jc w:val="both"/>
        <w:rPr>
          <w:rFonts w:ascii="Adobe Garamond Pro" w:hAnsi="Adobe Garamond Pro" w:cs="Times New Roman"/>
          <w:i/>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Imajući u vidu vrlo specifični odnos NATO i BiH još od vremena rata 1992.-95. godine te činjenicu da su nove članice koje pripadaju i NATO i EU prvo postale članicama NATO saveza pa tek onda EU, razumljivo je što će se primat u ovoj analizi dati upravo ovo vojno-političkom savezu. Naravno, kako je to već naglašeno, primat NATO-a zapravo proističe iz primata sigurnosti jer bez sigurnog i stabilnog okruženje ne može biti ni kvalitetnih ulaganja niti adekvatnog razvoja.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Prateći i kreirajući promjene u međunarodnom sistemu koje su se dogodile nakon pada „Berlinskog zida“ članice NATO saveza su u svom novom Strateškom konceptu iz 1991. godine odlučile da dominantni koncept kolektivne odbrane obogate konceptom kooperativne sigurnosti koju Nolan</w:t>
      </w:r>
      <w:r w:rsidRPr="001909E5">
        <w:rPr>
          <w:rStyle w:val="FootnoteReference"/>
          <w:rFonts w:ascii="Adobe Garamond Pro" w:hAnsi="Adobe Garamond Pro" w:cs="Times New Roman"/>
          <w:sz w:val="20"/>
          <w:szCs w:val="20"/>
          <w:lang w:val="bs-Latn-BA"/>
        </w:rPr>
        <w:footnoteReference w:id="17"/>
      </w:r>
      <w:r w:rsidRPr="001909E5">
        <w:rPr>
          <w:rFonts w:ascii="Adobe Garamond Pro" w:hAnsi="Adobe Garamond Pro" w:cs="Times New Roman"/>
          <w:sz w:val="20"/>
          <w:szCs w:val="20"/>
          <w:lang w:val="bs-Latn-BA"/>
        </w:rPr>
        <w:t xml:space="preserve"> vidi kao „model međudržavnih odnosa u kojima su nesporazumi očekivani ali čije rješavanje se očekuje unutar dogovorenih normi i ustanovljenih procedura“. Ovo po Adleru</w:t>
      </w:r>
      <w:r w:rsidRPr="001909E5">
        <w:rPr>
          <w:rStyle w:val="FootnoteReference"/>
          <w:rFonts w:ascii="Adobe Garamond Pro" w:hAnsi="Adobe Garamond Pro" w:cs="Times New Roman"/>
          <w:sz w:val="20"/>
          <w:szCs w:val="20"/>
          <w:lang w:val="bs-Latn-BA"/>
        </w:rPr>
        <w:footnoteReference w:id="18"/>
      </w:r>
      <w:r w:rsidRPr="001909E5">
        <w:rPr>
          <w:rFonts w:ascii="Adobe Garamond Pro" w:hAnsi="Adobe Garamond Pro" w:cs="Times New Roman"/>
          <w:sz w:val="20"/>
          <w:szCs w:val="20"/>
          <w:lang w:val="bs-Latn-BA"/>
        </w:rPr>
        <w:t xml:space="preserve"> predstavlja „prirodnu sigurnosnu praksu sigurnosne zajednice“. Još konkretnije, kooperativna sigurnost predstavlja „kolekciju sigurnosnih praksi“ koje su usvojene od „multilateralnih institucija sigurnosnih zajednica“ zasnovanih na premisama da se prijetnje po sigurnosnu zajednicu najbolje tretiraju mjerama za izgradnju povjerenja i dijalogom, mjerama za poboljšanje uvjeta života, „promocijom regionalnih identiteta, i, posebno, uključivanjem susjednih zemalja u zajednicu kao članova ili kao partnera“. Nastojeći konkretizirati političku suradnju započetu formiranjem Sjevernoatlanskog vijeća za suradnju (NACC</w:t>
      </w:r>
      <w:r w:rsidRPr="001909E5">
        <w:rPr>
          <w:rStyle w:val="FootnoteReference"/>
          <w:rFonts w:ascii="Adobe Garamond Pro" w:hAnsi="Adobe Garamond Pro" w:cs="Times New Roman"/>
          <w:sz w:val="20"/>
          <w:szCs w:val="20"/>
          <w:lang w:val="bs-Latn-BA"/>
        </w:rPr>
        <w:footnoteReference w:id="19"/>
      </w:r>
      <w:r w:rsidRPr="001909E5">
        <w:rPr>
          <w:rFonts w:ascii="Adobe Garamond Pro" w:hAnsi="Adobe Garamond Pro" w:cs="Times New Roman"/>
          <w:sz w:val="20"/>
          <w:szCs w:val="20"/>
          <w:lang w:val="bs-Latn-BA"/>
        </w:rPr>
        <w:t>), NATO članice su 1994. godine aktivirale „najintenzivniji program vojne suradnje ikada zamišljen u Evropi“</w:t>
      </w:r>
      <w:r w:rsidRPr="001909E5">
        <w:rPr>
          <w:rStyle w:val="FootnoteReference"/>
          <w:rFonts w:ascii="Adobe Garamond Pro" w:hAnsi="Adobe Garamond Pro" w:cs="Times New Roman"/>
          <w:sz w:val="20"/>
          <w:szCs w:val="20"/>
          <w:lang w:val="bs-Latn-BA"/>
        </w:rPr>
        <w:footnoteReference w:id="20"/>
      </w:r>
      <w:r w:rsidRPr="001909E5">
        <w:rPr>
          <w:rFonts w:ascii="Adobe Garamond Pro" w:hAnsi="Adobe Garamond Pro" w:cs="Times New Roman"/>
          <w:sz w:val="20"/>
          <w:szCs w:val="20"/>
          <w:lang w:val="bs-Latn-BA"/>
        </w:rPr>
        <w:t xml:space="preserve"> – Parnerstvo za mir (PfP</w:t>
      </w:r>
      <w:r w:rsidRPr="001909E5">
        <w:rPr>
          <w:rStyle w:val="FootnoteReference"/>
          <w:rFonts w:ascii="Adobe Garamond Pro" w:hAnsi="Adobe Garamond Pro" w:cs="Times New Roman"/>
          <w:sz w:val="20"/>
          <w:szCs w:val="20"/>
          <w:lang w:val="bs-Latn-BA"/>
        </w:rPr>
        <w:footnoteReference w:id="21"/>
      </w:r>
      <w:r w:rsidRPr="001909E5">
        <w:rPr>
          <w:rFonts w:ascii="Adobe Garamond Pro" w:hAnsi="Adobe Garamond Pro" w:cs="Times New Roman"/>
          <w:sz w:val="20"/>
          <w:szCs w:val="20"/>
          <w:lang w:val="bs-Latn-BA"/>
        </w:rPr>
        <w:t>). Tako je NATO kroz edukaciju, obuku i vježbe eksportovao svoj način djelovanja u zemlje koje su bile zainteresirane za bliže odnose sa Alijansom – „čak i u zemlje koje se nisu nadale konačnom članstvu“.</w:t>
      </w:r>
      <w:r w:rsidRPr="001909E5">
        <w:rPr>
          <w:rStyle w:val="FootnoteReference"/>
          <w:rFonts w:ascii="Adobe Garamond Pro" w:hAnsi="Adobe Garamond Pro" w:cs="Times New Roman"/>
          <w:sz w:val="20"/>
          <w:szCs w:val="20"/>
          <w:lang w:val="bs-Latn-BA"/>
        </w:rPr>
        <w:footnoteReference w:id="22"/>
      </w:r>
      <w:r w:rsidRPr="001909E5">
        <w:rPr>
          <w:rFonts w:ascii="Adobe Garamond Pro" w:hAnsi="Adobe Garamond Pro" w:cs="Times New Roman"/>
          <w:sz w:val="20"/>
          <w:szCs w:val="20"/>
          <w:lang w:val="bs-Latn-BA"/>
        </w:rPr>
        <w:t xml:space="preserve"> Formiranjem Euroatlanskog partnerskog vijeća (EAPC</w:t>
      </w:r>
      <w:r w:rsidRPr="001909E5">
        <w:rPr>
          <w:rStyle w:val="FootnoteReference"/>
          <w:rFonts w:ascii="Adobe Garamond Pro" w:hAnsi="Adobe Garamond Pro" w:cs="Times New Roman"/>
          <w:sz w:val="20"/>
          <w:szCs w:val="20"/>
          <w:lang w:val="bs-Latn-BA"/>
        </w:rPr>
        <w:footnoteReference w:id="23"/>
      </w:r>
      <w:r w:rsidRPr="001909E5">
        <w:rPr>
          <w:rFonts w:ascii="Adobe Garamond Pro" w:hAnsi="Adobe Garamond Pro" w:cs="Times New Roman"/>
          <w:sz w:val="20"/>
          <w:szCs w:val="20"/>
          <w:lang w:val="bs-Latn-BA"/>
        </w:rPr>
        <w:t>) koje je 1997. godine zamijenilo NACC, partnerima se pružila mogućnost učestvovanja u procesu donošenja odluka i planiranju,  PfP se učinio aktivnijim a proces konsultacija je proširen i na neka osjetljiva pitanja kao što je kontrola naoružanja.</w:t>
      </w:r>
      <w:r w:rsidRPr="001909E5">
        <w:rPr>
          <w:rStyle w:val="FootnoteReference"/>
          <w:rFonts w:ascii="Adobe Garamond Pro" w:hAnsi="Adobe Garamond Pro" w:cs="Times New Roman"/>
          <w:sz w:val="20"/>
          <w:szCs w:val="20"/>
          <w:lang w:val="bs-Latn-BA"/>
        </w:rPr>
        <w:footnoteReference w:id="24"/>
      </w:r>
      <w:r w:rsidRPr="001909E5">
        <w:rPr>
          <w:rFonts w:ascii="Adobe Garamond Pro" w:hAnsi="Adobe Garamond Pro" w:cs="Times New Roman"/>
          <w:sz w:val="20"/>
          <w:szCs w:val="20"/>
          <w:lang w:val="bs-Latn-BA"/>
        </w:rPr>
        <w:t xml:space="preserve"> Ne razmatrajući detaljnije sve mehanizme PfP dovoljno je kazati da je to program koji je obuhvatio niz vrlo konkretnih </w:t>
      </w:r>
      <w:r w:rsidRPr="001909E5">
        <w:rPr>
          <w:rFonts w:ascii="Adobe Garamond Pro" w:hAnsi="Adobe Garamond Pro" w:cs="Times New Roman"/>
          <w:sz w:val="20"/>
          <w:szCs w:val="20"/>
          <w:lang w:val="bs-Latn-BA"/>
        </w:rPr>
        <w:lastRenderedPageBreak/>
        <w:t>oblika suradnje koji su se, uglavnom, bazirali na principima pojedinačnog pristupa (samodiferencijacije) i konkretnog učinka (uvjeta za dalji napredak prema nivou ambicije).</w:t>
      </w:r>
      <w:r w:rsidRPr="001909E5">
        <w:rPr>
          <w:rStyle w:val="FootnoteReference"/>
          <w:rFonts w:ascii="Adobe Garamond Pro" w:hAnsi="Adobe Garamond Pro" w:cs="Times New Roman"/>
          <w:sz w:val="20"/>
          <w:szCs w:val="20"/>
          <w:lang w:val="bs-Latn-BA"/>
        </w:rPr>
        <w:footnoteReference w:id="25"/>
      </w:r>
      <w:r w:rsidRPr="001909E5">
        <w:rPr>
          <w:rFonts w:ascii="Adobe Garamond Pro" w:hAnsi="Adobe Garamond Pro" w:cs="Times New Roman"/>
          <w:sz w:val="20"/>
          <w:szCs w:val="20"/>
          <w:lang w:val="bs-Latn-BA"/>
        </w:rPr>
        <w:t xml:space="preserve"> No, iako je PfP uglavnom program bilateralnog odnosa zemlje partnera i NATO saveza, regionalni pristup ipak igra važnu ulogu, posebno na višim nivoima suradnje kada do izražaja dolaze regionalne specifičnosti.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 </w:t>
      </w:r>
      <w:r w:rsidRPr="001909E5">
        <w:rPr>
          <w:rFonts w:ascii="Adobe Garamond Pro" w:hAnsi="Adobe Garamond Pro" w:cs="Times New Roman"/>
          <w:sz w:val="20"/>
          <w:szCs w:val="20"/>
          <w:lang w:val="bs-Latn-BA"/>
        </w:rPr>
        <w:tab/>
        <w:t>U tom kontekstu, Bosna i Hercegovina je pozvana u PfP tek 2006. godine i od tada je uzela učešće u instrumentima PARP, OCC, PSE, IPCP, IPAP i ID, dok je 2010. godine pozvana u MAP sa uvjetom knjiženja perspektivne vojne imovine na državu BiH. Akcijski plan za članstvo zapravo predstavlja tipičan primjer regionalnog pristupa imajući u vidu da je aktiviran 1999. godine, nako čega su SAD 2003. godine, u okviru „Američko-jadranske povelje“, preuzele na sebe obavezu pripreme Albanije, Hrvatske i Makedonije (A3) za punopravno članstvo u NATO savez. Pored BiH, 2010. godine MAP-u se pridružila i Crna Gora, tvoreći na taj način A5. Prakse koje je ova inicijativa iznjedrila do sada su sastanci u različitim formatima, zajedničke vježbe, regionalni centri za obuku i edukaciju kao i visoko-sofisticirani projekti iz domena „pametne odbrane“ kao što je Balkanski regionalni pristup protivzračnoj odbrani (BRAAD) u kojem učestvuju BiH, Crna Gora, Makedonija i Hrvatska, kao vodeća nacija u ime NATO-a.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NATO je 1999. godine, u okviru svog pristupa izgradnje regiona, započeo „Inicijativu za Jugoistočnu Evropu“ baziranu na već izgrađenoj intenzivnom doprinosu regionalnom miru i sigurnosti i fokusirajući se na trilateralu BiH – Hrvatska – Srbija (po ukazanoj prilici). Instrumenti koje je razvila ova inicijativa su Nadzorna grupa za sigurnosnu suradnju u Jugoistočnoj Evropi (SEEGROUP</w:t>
      </w:r>
      <w:r w:rsidRPr="001909E5">
        <w:rPr>
          <w:rStyle w:val="FootnoteReference"/>
          <w:rFonts w:ascii="Adobe Garamond Pro" w:hAnsi="Adobe Garamond Pro" w:cs="Times New Roman"/>
          <w:sz w:val="20"/>
          <w:szCs w:val="20"/>
          <w:lang w:val="bs-Latn-BA"/>
        </w:rPr>
        <w:footnoteReference w:id="26"/>
      </w:r>
      <w:r w:rsidRPr="001909E5">
        <w:rPr>
          <w:rFonts w:ascii="Adobe Garamond Pro" w:hAnsi="Adobe Garamond Pro" w:cs="Times New Roman"/>
          <w:sz w:val="20"/>
          <w:szCs w:val="20"/>
          <w:lang w:val="bs-Latn-BA"/>
        </w:rPr>
        <w:t>) i Zajednička procjena regionalnih sigurnosnih izazova i prilika (SEECAP</w:t>
      </w:r>
      <w:r w:rsidRPr="001909E5">
        <w:rPr>
          <w:rStyle w:val="FootnoteReference"/>
          <w:rFonts w:ascii="Adobe Garamond Pro" w:hAnsi="Adobe Garamond Pro" w:cs="Times New Roman"/>
          <w:sz w:val="20"/>
          <w:szCs w:val="20"/>
          <w:lang w:val="bs-Latn-BA"/>
        </w:rPr>
        <w:footnoteReference w:id="27"/>
      </w:r>
      <w:r w:rsidRPr="001909E5">
        <w:rPr>
          <w:rFonts w:ascii="Adobe Garamond Pro" w:hAnsi="Adobe Garamond Pro" w:cs="Times New Roman"/>
          <w:sz w:val="20"/>
          <w:szCs w:val="20"/>
          <w:lang w:val="bs-Latn-BA"/>
        </w:rPr>
        <w:t>).</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Inicijative Evropske unije</w:t>
      </w:r>
    </w:p>
    <w:p w:rsidR="001909E5" w:rsidRPr="001909E5" w:rsidRDefault="001909E5" w:rsidP="001909E5">
      <w:pPr>
        <w:spacing w:after="0" w:line="240" w:lineRule="auto"/>
        <w:jc w:val="both"/>
        <w:rPr>
          <w:rFonts w:ascii="Adobe Garamond Pro" w:hAnsi="Adobe Garamond Pro" w:cs="Times New Roman"/>
          <w:i/>
          <w:sz w:val="20"/>
          <w:szCs w:val="20"/>
          <w:lang w:val="bs-Latn-BA"/>
        </w:rPr>
      </w:pPr>
    </w:p>
    <w:p w:rsidR="001909E5" w:rsidRP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Za razliku od NATO, EU se fokusira ne samo na odbranu već i na ostala područja sigurnosnog sektora pa u tom kontekstu postoji veći i raznovrsniji broj inicijativa koje se tiču ovog krila euroatlanskog projekta.</w:t>
      </w: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lastRenderedPageBreak/>
        <w:t>Ili, kako to sugerira Lopandić;</w:t>
      </w:r>
      <w:r w:rsidRPr="001909E5">
        <w:rPr>
          <w:rStyle w:val="FootnoteReference"/>
          <w:rFonts w:ascii="Adobe Garamond Pro" w:hAnsi="Adobe Garamond Pro" w:cs="Times New Roman"/>
          <w:sz w:val="20"/>
          <w:szCs w:val="20"/>
          <w:lang w:val="bs-Latn-BA"/>
        </w:rPr>
        <w:footnoteReference w:id="28"/>
      </w:r>
      <w:r>
        <w:rPr>
          <w:rFonts w:ascii="Adobe Garamond Pro" w:hAnsi="Adobe Garamond Pro" w:cs="Times New Roman"/>
          <w:sz w:val="20"/>
          <w:szCs w:val="20"/>
          <w:lang w:val="bs-Latn-BA"/>
        </w:rPr>
        <w:t xml:space="preserve"> </w:t>
      </w:r>
      <w:r w:rsidRPr="001909E5">
        <w:rPr>
          <w:rFonts w:ascii="Adobe Garamond Pro" w:hAnsi="Adobe Garamond Pro" w:cs="Times New Roman"/>
          <w:sz w:val="20"/>
          <w:szCs w:val="20"/>
          <w:lang w:val="bs-Latn-BA"/>
        </w:rPr>
        <w:t>U okviru šire strategije proširenja, EU je prema zemljama Zapadnog Balkana razvila i posebne instrumente, poput „evropskog partnerstva“ (predugovorni instrument), kao i „proces stabilizacije i pridruživanja“ (ugovorni deo procesa asocijacije, odnosno pret-pristupne strategije). Proces stabilizacije i pridruživanja (PSP) je istovremeno bilateralni i regionalni proces, koji s jedne strane uspostavlja odnose između obuhvaćenih zemalja i EU, a s druge strane ohrabruje njihovu međusobnu regionalnu saradnju.</w:t>
      </w:r>
    </w:p>
    <w:p w:rsidR="001909E5" w:rsidRPr="001909E5" w:rsidRDefault="001909E5" w:rsidP="001909E5">
      <w:pPr>
        <w:spacing w:after="0" w:line="240" w:lineRule="auto"/>
        <w:jc w:val="both"/>
        <w:rPr>
          <w:rFonts w:ascii="Adobe Garamond Pro" w:hAnsi="Adobe Garamond Pro" w:cs="Times New Roman"/>
          <w:i/>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Ovakav pristup je artikuliran i na osnovu ocjene EU da rezultati na pojedinačnim  nacionalnim nivoima ne bi bili dovoljni da se postignu željeni političko-ekonomski ciljevi, posebno imajući u vidu „komplementarnosti njihovih ekonomija, sličnosti problema sa kojima se suočavaju na planu ekonomske tranzicije i uvjerenju da nema dugoročne političke stabilnosti u regionu bez uspostavljanja značajnog stepena međusobne saradnje“.</w:t>
      </w:r>
      <w:r w:rsidRPr="001909E5">
        <w:rPr>
          <w:rStyle w:val="FootnoteReference"/>
          <w:rFonts w:ascii="Adobe Garamond Pro" w:hAnsi="Adobe Garamond Pro" w:cs="Times New Roman"/>
          <w:sz w:val="20"/>
          <w:szCs w:val="20"/>
          <w:lang w:val="bs-Latn-BA"/>
        </w:rPr>
        <w:footnoteReference w:id="29"/>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Nakon sukoba na Kosovu 1999. godine EU je redefinirala svoju politiku prema Balkanu i pokrenula dvije nove incijative: Pakt za stabilnost u jugoistočnoj Evropi i Proces stabilizacije i pridruživanja (SAP</w:t>
      </w:r>
      <w:r w:rsidRPr="001909E5">
        <w:rPr>
          <w:rStyle w:val="FootnoteReference"/>
          <w:rFonts w:ascii="Adobe Garamond Pro" w:hAnsi="Adobe Garamond Pro" w:cs="Times New Roman"/>
          <w:sz w:val="20"/>
          <w:szCs w:val="20"/>
          <w:lang w:val="bs-Latn-BA"/>
        </w:rPr>
        <w:footnoteReference w:id="30"/>
      </w:r>
      <w:r w:rsidRPr="001909E5">
        <w:rPr>
          <w:rFonts w:ascii="Adobe Garamond Pro" w:hAnsi="Adobe Garamond Pro" w:cs="Times New Roman"/>
          <w:sz w:val="20"/>
          <w:szCs w:val="20"/>
          <w:lang w:val="bs-Latn-BA"/>
        </w:rPr>
        <w:t>). Regionalna suradnja se eksplicitno pominje u članovima 1. i 10. Sporazuma (SAP) dok je njegovo Treće poglavlje kompletno posvećeno regionalnoj suradnji.</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Pakt za stabilnost u jugoistočnoj Evropi (SP for SEE</w:t>
      </w:r>
      <w:r w:rsidRPr="001909E5">
        <w:rPr>
          <w:rStyle w:val="FootnoteReference"/>
          <w:rFonts w:ascii="Adobe Garamond Pro" w:hAnsi="Adobe Garamond Pro" w:cs="Times New Roman"/>
          <w:sz w:val="20"/>
          <w:szCs w:val="20"/>
          <w:lang w:val="bs-Latn-BA"/>
        </w:rPr>
        <w:footnoteReference w:id="31"/>
      </w:r>
      <w:r w:rsidRPr="001909E5">
        <w:rPr>
          <w:rFonts w:ascii="Adobe Garamond Pro" w:hAnsi="Adobe Garamond Pro" w:cs="Times New Roman"/>
          <w:sz w:val="20"/>
          <w:szCs w:val="20"/>
          <w:lang w:val="bs-Latn-BA"/>
        </w:rPr>
        <w:t>) formiran je 1999. godine njegov cilj je bio dugoročna stabilizacija, sigurnost, demokratizacija i ekonomska obnova i izgradnja regiona. Pored regionalnog stola za jugoistočnu evropu pri misiji Organizacije za evropsku sigurnost i suradnju (OSCE</w:t>
      </w:r>
      <w:r w:rsidRPr="001909E5">
        <w:rPr>
          <w:rStyle w:val="FootnoteReference"/>
          <w:rFonts w:ascii="Adobe Garamond Pro" w:hAnsi="Adobe Garamond Pro" w:cs="Times New Roman"/>
          <w:sz w:val="20"/>
          <w:szCs w:val="20"/>
          <w:lang w:val="bs-Latn-BA"/>
        </w:rPr>
        <w:footnoteReference w:id="32"/>
      </w:r>
      <w:r w:rsidRPr="001909E5">
        <w:rPr>
          <w:rFonts w:ascii="Adobe Garamond Pro" w:hAnsi="Adobe Garamond Pro" w:cs="Times New Roman"/>
          <w:sz w:val="20"/>
          <w:szCs w:val="20"/>
          <w:lang w:val="bs-Latn-BA"/>
        </w:rPr>
        <w:t>), Pakt se sastojao od tri Radna stola od kojih se Treći radni sto odnosio na pitanja sigurnosti kao što su: organizirani kriminal; inicijativa protiv korupcije; kontrola naoružanja, sprečavanje proliferacije i vojni kontakti; vojna reforma i ekonomija; deminiranje; azil i migracije; te prevencija i pripreme za slučajeve katastrofa. Imajući u vidu obimnost sektora sigurnosti, ovaj sto je formirao dva podstola: za unutarnja pitanja i pravosuđe te za odbranu i sigurnost. Prvi podsto je inicirao nekoliko važnih inicijativa među kojima se posebno izdvajaju Inicijativa za kontrolu migracija i azila (MARRI</w:t>
      </w:r>
      <w:r w:rsidRPr="001909E5">
        <w:rPr>
          <w:rStyle w:val="FootnoteReference"/>
          <w:rFonts w:ascii="Adobe Garamond Pro" w:hAnsi="Adobe Garamond Pro" w:cs="Times New Roman"/>
          <w:sz w:val="20"/>
          <w:szCs w:val="20"/>
          <w:lang w:val="bs-Latn-BA"/>
        </w:rPr>
        <w:footnoteReference w:id="33"/>
      </w:r>
      <w:r w:rsidRPr="001909E5">
        <w:rPr>
          <w:rFonts w:ascii="Adobe Garamond Pro" w:hAnsi="Adobe Garamond Pro" w:cs="Times New Roman"/>
          <w:sz w:val="20"/>
          <w:szCs w:val="20"/>
          <w:lang w:val="bs-Latn-BA"/>
        </w:rPr>
        <w:t>); Policiijski forum</w:t>
      </w:r>
      <w:r w:rsidRPr="001909E5">
        <w:rPr>
          <w:rStyle w:val="FootnoteReference"/>
          <w:rFonts w:ascii="Adobe Garamond Pro" w:hAnsi="Adobe Garamond Pro" w:cs="Times New Roman"/>
          <w:sz w:val="20"/>
          <w:szCs w:val="20"/>
          <w:lang w:val="bs-Latn-BA"/>
        </w:rPr>
        <w:footnoteReference w:id="34"/>
      </w:r>
      <w:r w:rsidRPr="001909E5">
        <w:rPr>
          <w:rFonts w:ascii="Adobe Garamond Pro" w:hAnsi="Adobe Garamond Pro" w:cs="Times New Roman"/>
          <w:sz w:val="20"/>
          <w:szCs w:val="20"/>
          <w:lang w:val="bs-Latn-BA"/>
        </w:rPr>
        <w:t>; Udruženje direktora policija Zapadnog Balkana (SEPCA</w:t>
      </w:r>
      <w:r w:rsidRPr="001909E5">
        <w:rPr>
          <w:rStyle w:val="FootnoteReference"/>
          <w:rFonts w:ascii="Adobe Garamond Pro" w:hAnsi="Adobe Garamond Pro" w:cs="Times New Roman"/>
          <w:sz w:val="20"/>
          <w:szCs w:val="20"/>
          <w:lang w:val="bs-Latn-BA"/>
        </w:rPr>
        <w:footnoteReference w:id="35"/>
      </w:r>
      <w:r w:rsidRPr="001909E5">
        <w:rPr>
          <w:rFonts w:ascii="Adobe Garamond Pro" w:hAnsi="Adobe Garamond Pro" w:cs="Times New Roman"/>
          <w:sz w:val="20"/>
          <w:szCs w:val="20"/>
          <w:lang w:val="bs-Latn-BA"/>
        </w:rPr>
        <w:t xml:space="preserve">); </w:t>
      </w:r>
      <w:r w:rsidRPr="001909E5">
        <w:rPr>
          <w:rFonts w:ascii="Adobe Garamond Pro" w:hAnsi="Adobe Garamond Pro" w:cs="Times New Roman"/>
          <w:sz w:val="20"/>
          <w:szCs w:val="20"/>
          <w:lang w:val="bs-Latn-BA"/>
        </w:rPr>
        <w:lastRenderedPageBreak/>
        <w:t>Incijativa za suradnju u borbi protiv prirodnih i drugih nepogoda (DPPI</w:t>
      </w:r>
      <w:r w:rsidRPr="001909E5">
        <w:rPr>
          <w:rStyle w:val="FootnoteReference"/>
          <w:rFonts w:ascii="Adobe Garamond Pro" w:hAnsi="Adobe Garamond Pro" w:cs="Times New Roman"/>
          <w:sz w:val="20"/>
          <w:szCs w:val="20"/>
          <w:lang w:val="bs-Latn-BA"/>
        </w:rPr>
        <w:footnoteReference w:id="36"/>
      </w:r>
      <w:r w:rsidRPr="001909E5">
        <w:rPr>
          <w:rFonts w:ascii="Adobe Garamond Pro" w:hAnsi="Adobe Garamond Pro" w:cs="Times New Roman"/>
          <w:sz w:val="20"/>
          <w:szCs w:val="20"/>
          <w:lang w:val="bs-Latn-BA"/>
        </w:rPr>
        <w:t>) sa sjedištem u Sarajevu; kao i Antikorupcijsku incijativu (SPAI/RAI</w:t>
      </w:r>
      <w:r w:rsidRPr="001909E5">
        <w:rPr>
          <w:rStyle w:val="FootnoteReference"/>
          <w:rFonts w:ascii="Adobe Garamond Pro" w:hAnsi="Adobe Garamond Pro" w:cs="Times New Roman"/>
          <w:sz w:val="20"/>
          <w:szCs w:val="20"/>
          <w:lang w:val="bs-Latn-BA"/>
        </w:rPr>
        <w:footnoteReference w:id="37"/>
      </w:r>
      <w:r w:rsidRPr="001909E5">
        <w:rPr>
          <w:rFonts w:ascii="Adobe Garamond Pro" w:hAnsi="Adobe Garamond Pro" w:cs="Times New Roman"/>
          <w:sz w:val="20"/>
          <w:szCs w:val="20"/>
          <w:lang w:val="bs-Latn-BA"/>
        </w:rPr>
        <w:t>) sa sjedištem u Sarajevu. Podsto za odbranu i sigurnost je pak aktivirao Ohridski proces (demilitarizacija pograničnih oblasti) i program eliminiranja malog i lakog naoružanja (SEESAC</w:t>
      </w:r>
      <w:r w:rsidRPr="001909E5">
        <w:rPr>
          <w:rStyle w:val="FootnoteReference"/>
          <w:rFonts w:ascii="Adobe Garamond Pro" w:hAnsi="Adobe Garamond Pro" w:cs="Times New Roman"/>
          <w:sz w:val="20"/>
          <w:szCs w:val="20"/>
          <w:lang w:val="bs-Latn-BA"/>
        </w:rPr>
        <w:footnoteReference w:id="38"/>
      </w:r>
      <w:r w:rsidRPr="001909E5">
        <w:rPr>
          <w:rFonts w:ascii="Adobe Garamond Pro" w:hAnsi="Adobe Garamond Pro" w:cs="Times New Roman"/>
          <w:sz w:val="20"/>
          <w:szCs w:val="20"/>
          <w:lang w:val="bs-Latn-BA"/>
        </w:rPr>
        <w:t>); te formirao Centar za kontrolu i verifikaciju naoružanja (RACVIAC</w:t>
      </w:r>
      <w:r w:rsidRPr="001909E5">
        <w:rPr>
          <w:rStyle w:val="FootnoteReference"/>
          <w:rFonts w:ascii="Adobe Garamond Pro" w:hAnsi="Adobe Garamond Pro" w:cs="Times New Roman"/>
          <w:sz w:val="20"/>
          <w:szCs w:val="20"/>
          <w:lang w:val="bs-Latn-BA"/>
        </w:rPr>
        <w:footnoteReference w:id="39"/>
      </w:r>
      <w:r w:rsidRPr="001909E5">
        <w:rPr>
          <w:rFonts w:ascii="Adobe Garamond Pro" w:hAnsi="Adobe Garamond Pro" w:cs="Times New Roman"/>
          <w:sz w:val="20"/>
          <w:szCs w:val="20"/>
          <w:lang w:val="bs-Latn-BA"/>
        </w:rPr>
        <w:t>).</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U toku 2006. godine formirano je novo tijelo, Savjet za regionalnu suradnju (RCC</w:t>
      </w:r>
      <w:r w:rsidRPr="001909E5">
        <w:rPr>
          <w:rStyle w:val="FootnoteReference"/>
          <w:rFonts w:ascii="Adobe Garamond Pro" w:hAnsi="Adobe Garamond Pro" w:cs="Times New Roman"/>
          <w:sz w:val="20"/>
          <w:szCs w:val="20"/>
          <w:lang w:val="bs-Latn-BA"/>
        </w:rPr>
        <w:footnoteReference w:id="40"/>
      </w:r>
      <w:r w:rsidRPr="001909E5">
        <w:rPr>
          <w:rFonts w:ascii="Adobe Garamond Pro" w:hAnsi="Adobe Garamond Pro" w:cs="Times New Roman"/>
          <w:sz w:val="20"/>
          <w:szCs w:val="20"/>
          <w:lang w:val="bs-Latn-BA"/>
        </w:rPr>
        <w:t>) sa sjedištem Sekretarijata u Sarajevu, koje je imalo za cilj da operativno nastavi aktivnosti SP for SEE koje su bile usmjerene na proces integracije u EU. Nakon dvogodišnjeg perioda tranzicije, Vijeće je 2008. godine postalo potpuno operativno fokusirajući se na šest raziličitih oblasti, uključujući pravosuđe i unutarnje poslove te sigurnost. Ključna uloga Vijeća je podsticanje i koordiniranje razvojnih projekata koji će ubrzati reforme u zemljama regiona i njihovu integraciju u evropske i evroatlanske strukture. U neke od inicijativa i projekata koje je Vijeće podržalo spadaju Forum šefova vojno obavještajnih službi JIE (SEMIC</w:t>
      </w:r>
      <w:r w:rsidRPr="001909E5">
        <w:rPr>
          <w:rStyle w:val="FootnoteReference"/>
          <w:rFonts w:ascii="Adobe Garamond Pro" w:hAnsi="Adobe Garamond Pro" w:cs="Times New Roman"/>
          <w:sz w:val="20"/>
          <w:szCs w:val="20"/>
          <w:lang w:val="bs-Latn-BA"/>
        </w:rPr>
        <w:footnoteReference w:id="41"/>
      </w:r>
      <w:r w:rsidRPr="001909E5">
        <w:rPr>
          <w:rFonts w:ascii="Adobe Garamond Pro" w:hAnsi="Adobe Garamond Pro" w:cs="Times New Roman"/>
          <w:sz w:val="20"/>
          <w:szCs w:val="20"/>
          <w:lang w:val="bs-Latn-BA"/>
        </w:rPr>
        <w:t>);  Forum nacionalnih sigurnosnih autoriteta JIE (SEENSA</w:t>
      </w:r>
      <w:r w:rsidRPr="001909E5">
        <w:rPr>
          <w:rStyle w:val="FootnoteReference"/>
          <w:rFonts w:ascii="Adobe Garamond Pro" w:hAnsi="Adobe Garamond Pro" w:cs="Times New Roman"/>
          <w:sz w:val="20"/>
          <w:szCs w:val="20"/>
          <w:lang w:val="bs-Latn-BA"/>
        </w:rPr>
        <w:footnoteReference w:id="42"/>
      </w:r>
      <w:r w:rsidRPr="001909E5">
        <w:rPr>
          <w:rFonts w:ascii="Adobe Garamond Pro" w:hAnsi="Adobe Garamond Pro" w:cs="Times New Roman"/>
          <w:sz w:val="20"/>
          <w:szCs w:val="20"/>
          <w:lang w:val="bs-Latn-BA"/>
        </w:rPr>
        <w:t>); Forum predsjednika specijaliziranih parlamentarnih komiteta (SEEHPSC</w:t>
      </w:r>
      <w:r w:rsidRPr="001909E5">
        <w:rPr>
          <w:rStyle w:val="FootnoteReference"/>
          <w:rFonts w:ascii="Adobe Garamond Pro" w:hAnsi="Adobe Garamond Pro" w:cs="Times New Roman"/>
          <w:sz w:val="20"/>
          <w:szCs w:val="20"/>
          <w:lang w:val="bs-Latn-BA"/>
        </w:rPr>
        <w:footnoteReference w:id="43"/>
      </w:r>
      <w:r w:rsidRPr="001909E5">
        <w:rPr>
          <w:rFonts w:ascii="Adobe Garamond Pro" w:hAnsi="Adobe Garamond Pro" w:cs="Times New Roman"/>
          <w:sz w:val="20"/>
          <w:szCs w:val="20"/>
          <w:lang w:val="bs-Latn-BA"/>
        </w:rPr>
        <w:t>); Forum političkih direktora u sektoru odbrane JIE (SEEDPD</w:t>
      </w:r>
      <w:r w:rsidRPr="001909E5">
        <w:rPr>
          <w:rStyle w:val="FootnoteReference"/>
          <w:rFonts w:ascii="Adobe Garamond Pro" w:hAnsi="Adobe Garamond Pro" w:cs="Times New Roman"/>
          <w:sz w:val="20"/>
          <w:szCs w:val="20"/>
          <w:lang w:val="bs-Latn-BA"/>
        </w:rPr>
        <w:footnoteReference w:id="44"/>
      </w:r>
      <w:r w:rsidRPr="001909E5">
        <w:rPr>
          <w:rFonts w:ascii="Adobe Garamond Pro" w:hAnsi="Adobe Garamond Pro" w:cs="Times New Roman"/>
          <w:sz w:val="20"/>
          <w:szCs w:val="20"/>
          <w:lang w:val="bs-Latn-BA"/>
        </w:rPr>
        <w:t>); Forum direktora nabavke u sektoru odbrane JIE (SEEDPrD</w:t>
      </w:r>
      <w:r w:rsidRPr="001909E5">
        <w:rPr>
          <w:rStyle w:val="FootnoteReference"/>
          <w:rFonts w:ascii="Adobe Garamond Pro" w:hAnsi="Adobe Garamond Pro" w:cs="Times New Roman"/>
          <w:sz w:val="20"/>
          <w:szCs w:val="20"/>
          <w:lang w:val="bs-Latn-BA"/>
        </w:rPr>
        <w:footnoteReference w:id="45"/>
      </w:r>
      <w:r w:rsidRPr="001909E5">
        <w:rPr>
          <w:rFonts w:ascii="Adobe Garamond Pro" w:hAnsi="Adobe Garamond Pro" w:cs="Times New Roman"/>
          <w:sz w:val="20"/>
          <w:szCs w:val="20"/>
          <w:lang w:val="bs-Latn-BA"/>
        </w:rPr>
        <w:t xml:space="preserve">) te pomoć u osnivanju regionalne mreže žena policajaca.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U toku austrijskog predsjedavanja EU tokom 2006. godine potpisana je Konvencija za policijsku suradnju u Jugoistočnoj Evropi (PCC SEE</w:t>
      </w:r>
      <w:r w:rsidRPr="001909E5">
        <w:rPr>
          <w:rStyle w:val="FootnoteReference"/>
          <w:rFonts w:ascii="Adobe Garamond Pro" w:hAnsi="Adobe Garamond Pro" w:cs="Times New Roman"/>
          <w:sz w:val="20"/>
          <w:szCs w:val="20"/>
          <w:lang w:val="bs-Latn-BA"/>
        </w:rPr>
        <w:footnoteReference w:id="46"/>
      </w:r>
      <w:r w:rsidRPr="001909E5">
        <w:rPr>
          <w:rFonts w:ascii="Adobe Garamond Pro" w:hAnsi="Adobe Garamond Pro" w:cs="Times New Roman"/>
          <w:sz w:val="20"/>
          <w:szCs w:val="20"/>
          <w:lang w:val="bs-Latn-BA"/>
        </w:rPr>
        <w:t>) koja predstavlja najznačajniji međunarodni dokument za pravosudnu i policijsku suradnju u JIE. Ova konvencija tretira aktivnosti kao što su saradnja u razmjeni informacija i standardizaciji komunikacija i opreme te saradnju u toku operacija i istraga.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 xml:space="preserve">Ostale regionalne incijative </w:t>
      </w:r>
    </w:p>
    <w:p w:rsidR="001909E5" w:rsidRPr="001909E5" w:rsidRDefault="001909E5" w:rsidP="001909E5">
      <w:pPr>
        <w:spacing w:after="0" w:line="240" w:lineRule="auto"/>
        <w:jc w:val="both"/>
        <w:rPr>
          <w:rFonts w:ascii="Adobe Garamond Pro" w:hAnsi="Adobe Garamond Pro" w:cs="Times New Roman"/>
          <w:i/>
          <w:sz w:val="20"/>
          <w:szCs w:val="20"/>
          <w:lang w:val="bs-Latn-BA"/>
        </w:rPr>
      </w:pPr>
    </w:p>
    <w:p w:rsidR="001909E5" w:rsidRP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Pored inicijativa koje su pokrenute multilateralno preko NATO i EU, pojedine zemlje koje gravitiraju regionu ili imaju neki poseban odnos ili interes, pokrenule su pojedine inicijative koje su trebale biti komplementarne već postojećim uz fokusiranje na pojedine probleme, oblasti života ili su imale sub-regionalni pristup.</w:t>
      </w: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lastRenderedPageBreak/>
        <w:tab/>
        <w:t>Tako su SAD 1996. godine pokrenule inicijativu za uspostavljanje procesa suradnje ministara odbrane zemalja jugoistočne Evrope (SEDM</w:t>
      </w:r>
      <w:r w:rsidRPr="001909E5">
        <w:rPr>
          <w:rStyle w:val="FootnoteReference"/>
          <w:rFonts w:ascii="Adobe Garamond Pro" w:hAnsi="Adobe Garamond Pro" w:cs="Times New Roman"/>
          <w:sz w:val="20"/>
          <w:szCs w:val="20"/>
          <w:lang w:val="bs-Latn-BA"/>
        </w:rPr>
        <w:footnoteReference w:id="47"/>
      </w:r>
      <w:r w:rsidRPr="001909E5">
        <w:rPr>
          <w:rFonts w:ascii="Adobe Garamond Pro" w:hAnsi="Adobe Garamond Pro" w:cs="Times New Roman"/>
          <w:sz w:val="20"/>
          <w:szCs w:val="20"/>
          <w:lang w:val="bs-Latn-BA"/>
        </w:rPr>
        <w:t>) čiji najvažniji instrument predstavlja formiranje Multinacionalnih mirovnih snaga jugoistočne Evrope (MPFSEE</w:t>
      </w:r>
      <w:r w:rsidRPr="001909E5">
        <w:rPr>
          <w:rStyle w:val="FootnoteReference"/>
          <w:rFonts w:ascii="Adobe Garamond Pro" w:hAnsi="Adobe Garamond Pro" w:cs="Times New Roman"/>
          <w:sz w:val="20"/>
          <w:szCs w:val="20"/>
          <w:lang w:val="bs-Latn-BA"/>
        </w:rPr>
        <w:footnoteReference w:id="48"/>
      </w:r>
      <w:r w:rsidRPr="001909E5">
        <w:rPr>
          <w:rFonts w:ascii="Adobe Garamond Pro" w:hAnsi="Adobe Garamond Pro" w:cs="Times New Roman"/>
          <w:sz w:val="20"/>
          <w:szCs w:val="20"/>
          <w:lang w:val="bs-Latn-BA"/>
        </w:rPr>
        <w:t>) sa svojom operativnom komponentom u vidu brigade za očuvanje mira jugoistočne Evrope (SEEBRIG</w:t>
      </w:r>
      <w:r w:rsidRPr="001909E5">
        <w:rPr>
          <w:rStyle w:val="FootnoteReference"/>
          <w:rFonts w:ascii="Adobe Garamond Pro" w:hAnsi="Adobe Garamond Pro" w:cs="Times New Roman"/>
          <w:sz w:val="20"/>
          <w:szCs w:val="20"/>
          <w:lang w:val="bs-Latn-BA"/>
        </w:rPr>
        <w:footnoteReference w:id="49"/>
      </w:r>
      <w:r w:rsidRPr="001909E5">
        <w:rPr>
          <w:rFonts w:ascii="Adobe Garamond Pro" w:hAnsi="Adobe Garamond Pro" w:cs="Times New Roman"/>
          <w:sz w:val="20"/>
          <w:szCs w:val="20"/>
          <w:lang w:val="bs-Latn-BA"/>
        </w:rPr>
        <w:t>). Pored toga, u toku 2000. godine pokrenut je Projekat simulacijskih vježbi (SESIM</w:t>
      </w:r>
      <w:r w:rsidRPr="001909E5">
        <w:rPr>
          <w:rStyle w:val="FootnoteReference"/>
          <w:rFonts w:ascii="Adobe Garamond Pro" w:hAnsi="Adobe Garamond Pro" w:cs="Times New Roman"/>
          <w:sz w:val="20"/>
          <w:szCs w:val="20"/>
          <w:lang w:val="bs-Latn-BA"/>
        </w:rPr>
        <w:footnoteReference w:id="50"/>
      </w:r>
      <w:r w:rsidRPr="001909E5">
        <w:rPr>
          <w:rFonts w:ascii="Adobe Garamond Pro" w:hAnsi="Adobe Garamond Pro" w:cs="Times New Roman"/>
          <w:sz w:val="20"/>
          <w:szCs w:val="20"/>
          <w:lang w:val="bs-Latn-BA"/>
        </w:rPr>
        <w:t>) i vojno-obrazovna suradnja jugoistočne Evrope (SEMEC</w:t>
      </w:r>
      <w:r w:rsidRPr="001909E5">
        <w:rPr>
          <w:rStyle w:val="FootnoteReference"/>
          <w:rFonts w:ascii="Adobe Garamond Pro" w:hAnsi="Adobe Garamond Pro" w:cs="Times New Roman"/>
          <w:sz w:val="20"/>
          <w:szCs w:val="20"/>
          <w:lang w:val="bs-Latn-BA"/>
        </w:rPr>
        <w:footnoteReference w:id="51"/>
      </w:r>
      <w:r w:rsidRPr="001909E5">
        <w:rPr>
          <w:rFonts w:ascii="Adobe Garamond Pro" w:hAnsi="Adobe Garamond Pro" w:cs="Times New Roman"/>
          <w:sz w:val="20"/>
          <w:szCs w:val="20"/>
          <w:lang w:val="bs-Latn-BA"/>
        </w:rPr>
        <w:t>).</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Forum za pomoć zemljama jugoistočne Evrope (SEEC</w:t>
      </w:r>
      <w:r w:rsidRPr="001909E5">
        <w:rPr>
          <w:rStyle w:val="FootnoteReference"/>
          <w:rFonts w:ascii="Adobe Garamond Pro" w:hAnsi="Adobe Garamond Pro" w:cs="Times New Roman"/>
          <w:sz w:val="20"/>
          <w:szCs w:val="20"/>
          <w:lang w:val="bs-Latn-BA"/>
        </w:rPr>
        <w:footnoteReference w:id="52"/>
      </w:r>
      <w:r w:rsidRPr="001909E5">
        <w:rPr>
          <w:rFonts w:ascii="Adobe Garamond Pro" w:hAnsi="Adobe Garamond Pro" w:cs="Times New Roman"/>
          <w:sz w:val="20"/>
          <w:szCs w:val="20"/>
          <w:lang w:val="bs-Latn-BA"/>
        </w:rPr>
        <w:t>) predstavlja sigurnosnu incijativu koju su 2004. godine pokrenuli Evropska komanda OS SAD (US EUCOM) i Ministarstvo odbrane Republike Slovenije i ona se fokuirala na mobiliziranje donatorske pomoći zemljama regiona postizanjem najboljeg efekta i izbjegavanjem dupliranja resursa.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Incijativa za suradnju u jugoistočnoj Evropi (SECI</w:t>
      </w:r>
      <w:r w:rsidRPr="001909E5">
        <w:rPr>
          <w:rStyle w:val="FootnoteReference"/>
          <w:rFonts w:ascii="Adobe Garamond Pro" w:hAnsi="Adobe Garamond Pro" w:cs="Times New Roman"/>
          <w:sz w:val="20"/>
          <w:szCs w:val="20"/>
          <w:lang w:val="bs-Latn-BA"/>
        </w:rPr>
        <w:footnoteReference w:id="53"/>
      </w:r>
      <w:r w:rsidRPr="001909E5">
        <w:rPr>
          <w:rFonts w:ascii="Adobe Garamond Pro" w:hAnsi="Adobe Garamond Pro" w:cs="Times New Roman"/>
          <w:sz w:val="20"/>
          <w:szCs w:val="20"/>
          <w:lang w:val="bs-Latn-BA"/>
        </w:rPr>
        <w:t>) formirana je 1996. godine na incijativu SAD čiji najvažniji projekat predstavlja Regionalni centar za borbu protiv prekograničnog kriminala sa radnim grupama za borbu protiv trgovine ljudima i krijumčarenja migranata; za borbu protiv droga; za borbu protiv prevara i krijumčarenja; za borbu protiv privrednog i visokotehnološkog kriminala; za borbu protiv trgovine ukradenim vozilima; za borbu protiv terorizma i za sigurnost trasnporta opasnih materija. U toku 2009. godine potpisana je i Konvencija o centru za sprovođenje prava u jugoistočnoj Evropi (SELEC</w:t>
      </w:r>
      <w:r w:rsidRPr="001909E5">
        <w:rPr>
          <w:rStyle w:val="FootnoteReference"/>
          <w:rFonts w:ascii="Adobe Garamond Pro" w:hAnsi="Adobe Garamond Pro" w:cs="Times New Roman"/>
          <w:sz w:val="20"/>
          <w:szCs w:val="20"/>
          <w:lang w:val="bs-Latn-BA"/>
        </w:rPr>
        <w:footnoteReference w:id="54"/>
      </w:r>
      <w:r w:rsidRPr="001909E5">
        <w:rPr>
          <w:rFonts w:ascii="Adobe Garamond Pro" w:hAnsi="Adobe Garamond Pro" w:cs="Times New Roman"/>
          <w:sz w:val="20"/>
          <w:szCs w:val="20"/>
          <w:lang w:val="bs-Latn-BA"/>
        </w:rPr>
        <w:t>) što, nakon ratifikacije, treba zamijeniti naziv SECI.</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Autohtone regionalne incijative</w:t>
      </w:r>
    </w:p>
    <w:p w:rsidR="001909E5" w:rsidRPr="001909E5" w:rsidRDefault="001909E5" w:rsidP="001909E5">
      <w:pPr>
        <w:spacing w:after="0" w:line="240" w:lineRule="auto"/>
        <w:jc w:val="both"/>
        <w:rPr>
          <w:rFonts w:ascii="Adobe Garamond Pro" w:hAnsi="Adobe Garamond Pro" w:cs="Times New Roman"/>
          <w:i/>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 xml:space="preserve">Razumjevajući značaj koji regionalnoj suradnji pridaju EU i NATO ali i ostatak međunarodne zajednice, te učestvujući u manjoj ili većoj mjeri u njihovim mehanizmima socijalizacije, zemlje Zapadnog Balkana su preuzele inicijativu i same kreirale određene mehanizme koji su se vezivali za pojedine grupe izazova.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Ipak, jedna inicijativa je starija od svih prethodnih pokušaja i odnosi se na nastojanje balkanskih zemalja da i u ranijim periodima kreira jednu vrstu autohtonog političkog foruma koji bi poluostrvo posmatrao kao jednu uvezanu cjelinu.  Kako to napominje Lopandić</w:t>
      </w:r>
      <w:r w:rsidRPr="001909E5">
        <w:rPr>
          <w:rStyle w:val="FootnoteReference"/>
          <w:rFonts w:ascii="Adobe Garamond Pro" w:hAnsi="Adobe Garamond Pro" w:cs="Times New Roman"/>
          <w:sz w:val="20"/>
          <w:szCs w:val="20"/>
          <w:lang w:val="bs-Latn-BA"/>
        </w:rPr>
        <w:footnoteReference w:id="55"/>
      </w:r>
      <w:r w:rsidRPr="001909E5">
        <w:rPr>
          <w:rFonts w:ascii="Adobe Garamond Pro" w:hAnsi="Adobe Garamond Pro" w:cs="Times New Roman"/>
          <w:sz w:val="20"/>
          <w:szCs w:val="20"/>
          <w:lang w:val="bs-Latn-BA"/>
        </w:rPr>
        <w:t xml:space="preserve"> prvi pokušaji balkanske integracije nastali su u periodu 1930.- 40. godine u kojem su održane četiri konferencije nezvaničnih predstavnika i koje su nastojale </w:t>
      </w:r>
      <w:r w:rsidRPr="001909E5">
        <w:rPr>
          <w:rFonts w:ascii="Adobe Garamond Pro" w:hAnsi="Adobe Garamond Pro" w:cs="Times New Roman"/>
          <w:sz w:val="20"/>
          <w:szCs w:val="20"/>
          <w:lang w:val="bs-Latn-BA"/>
        </w:rPr>
        <w:lastRenderedPageBreak/>
        <w:t>kreirati neku vrstu „Balkanskog pakta“. U toku II svjetskog rata i za vrijeme „Hladnog rata“ bilo je nekoliko incijativa usmjerenih ka stvaranju Balkanske unije u manjem ili većem formatu ali su sve okončane bezuspješno. Posljednji primjer regionalne suradnje na Balkanu predstavljaju dvije konferencije ministara vanjskih poslova održane u periodu 1988.-90. godine, nakon čega će krenuti globalna previranja sa regionalnim efektima gdje je raspad bivše SFRJ propraćen krvavim sukobima i ogromnim stradanjima koji će u region donijeti strah, nepovjerenje i uzdržanost.</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Tek nakon potpisivanja Daytonskog mirovnog sporazuma stvorili su se uvjeti za obnovu regionalnih inicijativa pa je konferenciju ministara vanjskih poslova zamijenila Konferencija o stabilnosti, sigurnosti i suradnji zemalja jugoistočne Evrope (KSBS). Nakon sukoba na Kosovu 1999. godine konferencija mijenja naziv u Proces za suradnju u jugoistočnoj Evropi (SEECP</w:t>
      </w:r>
      <w:r w:rsidRPr="001909E5">
        <w:rPr>
          <w:rStyle w:val="FootnoteReference"/>
          <w:rFonts w:ascii="Adobe Garamond Pro" w:hAnsi="Adobe Garamond Pro" w:cs="Times New Roman"/>
          <w:sz w:val="20"/>
          <w:szCs w:val="20"/>
          <w:lang w:val="bs-Latn-BA"/>
        </w:rPr>
        <w:footnoteReference w:id="56"/>
      </w:r>
      <w:r w:rsidRPr="001909E5">
        <w:rPr>
          <w:rFonts w:ascii="Adobe Garamond Pro" w:hAnsi="Adobe Garamond Pro" w:cs="Times New Roman"/>
          <w:sz w:val="20"/>
          <w:szCs w:val="20"/>
          <w:lang w:val="bs-Latn-BA"/>
        </w:rPr>
        <w:t xml:space="preserve">), da bi 2000. godine bila potpisana Povelja o dobrosusjedskim odnosima, stabilnosti, sigurnosti i suradnji u JIE kao njegov osnovni dokument. Konačni odnosi uređeni su 2007. godine kada je SEECP potvrdio status političkog okvira čiji operativni organ predstavlja RCC.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Konferencija načelnika generalštabova balkanskih zemalja (B9) predstavlja još jednu autohtonu inicijativu u domenu vojno-vojne suradnje i radi kroz dvije podgrupe: Podgrupu za obuku, obrazovanje i vježbe te Podgrupu za asimetrične prijetnje.</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ab/>
        <w:t xml:space="preserve">Zajednički centar za policijsku saradnju između Bosne i Hercegovine, Crne Gore i Srbije počeo je sa radom 2014. godine u Trebinju i njegov zadatak je koordinacija aktivnosti u borbi protiv svih oblika prekograničnog kriminala. </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Savjetodavna grupa tužilaca jugoistočne Evrope (SEEPAG</w:t>
      </w:r>
      <w:r w:rsidRPr="001909E5">
        <w:rPr>
          <w:rStyle w:val="FootnoteReference"/>
          <w:rFonts w:ascii="Adobe Garamond Pro" w:hAnsi="Adobe Garamond Pro" w:cs="Times New Roman"/>
          <w:sz w:val="20"/>
          <w:szCs w:val="20"/>
          <w:lang w:val="bs-Latn-BA"/>
        </w:rPr>
        <w:footnoteReference w:id="57"/>
      </w:r>
      <w:r w:rsidRPr="001909E5">
        <w:rPr>
          <w:rFonts w:ascii="Adobe Garamond Pro" w:hAnsi="Adobe Garamond Pro" w:cs="Times New Roman"/>
          <w:sz w:val="20"/>
          <w:szCs w:val="20"/>
          <w:lang w:val="bs-Latn-BA"/>
        </w:rPr>
        <w:t xml:space="preserve">) je formirana 2003. godine i ne predstavlja organizaciju u klasičnom smislu već radije mrežu kontakt-osoba u tužilaštvima država članica za unapređenje suradnje tužilaca i pružanje pravne pomoći. </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Sličnu mrežu formiralo je i šest država Zapadnog Balkana 2010. godine pod nazivom Mreža javnih tužilaca Zapadnog Balkana (PROSECO</w:t>
      </w:r>
      <w:r w:rsidRPr="001909E5">
        <w:rPr>
          <w:rStyle w:val="FootnoteReference"/>
          <w:rFonts w:ascii="Adobe Garamond Pro" w:hAnsi="Adobe Garamond Pro" w:cs="Times New Roman"/>
          <w:sz w:val="20"/>
          <w:szCs w:val="20"/>
          <w:lang w:val="bs-Latn-BA"/>
        </w:rPr>
        <w:footnoteReference w:id="58"/>
      </w:r>
      <w:r w:rsidRPr="001909E5">
        <w:rPr>
          <w:rFonts w:ascii="Adobe Garamond Pro" w:hAnsi="Adobe Garamond Pro" w:cs="Times New Roman"/>
          <w:sz w:val="20"/>
          <w:szCs w:val="20"/>
          <w:lang w:val="bs-Latn-BA"/>
        </w:rPr>
        <w:t>) čija je svrha omogućavanje intenzivne suradnje u istrazi i podizanju optužnica protiv osoba osumnjičenih za organizirani kriminal i članova kriminalnih udruženja i organizacija.</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Iako se parlamentarna suradnja u jugoistočnoj Evropi i na Zapadnom Balkanu odnosi na cjelokupnost aktivnosti ove grane vlasti ipak su teme koje se tiču sigurnosti i sigurnosnog sektora vrlo često tema zajedničkih sastanaka u okviru incijativa kao što su </w:t>
      </w:r>
      <w:r w:rsidRPr="001909E5">
        <w:rPr>
          <w:rFonts w:ascii="Adobe Garamond Pro" w:hAnsi="Adobe Garamond Pro" w:cs="Times New Roman"/>
          <w:sz w:val="20"/>
          <w:szCs w:val="20"/>
          <w:lang w:val="bs-Latn-BA"/>
        </w:rPr>
        <w:lastRenderedPageBreak/>
        <w:t>Regionalni sekretarijat za parlamentarnu suradnju u jugoistočnoj Evropi (RCSP SEE</w:t>
      </w:r>
      <w:r w:rsidRPr="001909E5">
        <w:rPr>
          <w:rStyle w:val="FootnoteReference"/>
          <w:rFonts w:ascii="Adobe Garamond Pro" w:hAnsi="Adobe Garamond Pro" w:cs="Times New Roman"/>
          <w:sz w:val="20"/>
          <w:szCs w:val="20"/>
          <w:lang w:val="bs-Latn-BA"/>
        </w:rPr>
        <w:footnoteReference w:id="59"/>
      </w:r>
      <w:r w:rsidRPr="001909E5">
        <w:rPr>
          <w:rFonts w:ascii="Adobe Garamond Pro" w:hAnsi="Adobe Garamond Pro" w:cs="Times New Roman"/>
          <w:sz w:val="20"/>
          <w:szCs w:val="20"/>
          <w:lang w:val="bs-Latn-BA"/>
        </w:rPr>
        <w:t>), Cetinjski parlamentarni forum te Konferencija odbora za evropske integracije parlamenata zemalja učesnica u Procesu stabilizacije i pridruživanja (COSAP</w:t>
      </w:r>
      <w:r w:rsidRPr="001909E5">
        <w:rPr>
          <w:rStyle w:val="FootnoteReference"/>
          <w:rFonts w:ascii="Adobe Garamond Pro" w:hAnsi="Adobe Garamond Pro" w:cs="Times New Roman"/>
          <w:sz w:val="20"/>
          <w:szCs w:val="20"/>
          <w:lang w:val="bs-Latn-BA"/>
        </w:rPr>
        <w:footnoteReference w:id="60"/>
      </w:r>
      <w:r w:rsidRPr="001909E5">
        <w:rPr>
          <w:rFonts w:ascii="Adobe Garamond Pro" w:hAnsi="Adobe Garamond Pro" w:cs="Times New Roman"/>
          <w:sz w:val="20"/>
          <w:szCs w:val="20"/>
          <w:lang w:val="bs-Latn-BA"/>
        </w:rPr>
        <w:t>).</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Domen civilnog života iako raznovrstan (ali ne i dovoljno razvijen) također bilježi određene inicijative koje se odnose na sektor sigurnosti od kojih je najznačajnije napomenuti Konzorcij think tankova Zapadnog Balkana koji okuplja sedam nevladinih organizacija u cilju realiziranja zajedničkih istraživanja kojom prilikom se otvaraju i mnoga senzitivna pitanja.</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Pored svih navedenih multilateralnih inicijativa postoji i čitav niz bilateralnih inicijativa koje BiH ima sa zemljama Zapadnog Balkana, posebno svojim susjedima; Hrvatskom, Srbijom i Crnom Gorom, no analiza ovih inicijativa prevazilazi ambicije ovog rada.</w:t>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Konačno, važno je kazati da sve navedene incijative koriste neki od poznatih institucionalnih aranžmana koji, u konačnici, također predstavljaju neku vrstu međunarodne prakse. Ti aranžmani mogu biti samiti šefova država i/ili vlada; sastanci na ministarskom nivou (vanjski poslovi, odbrana, pravda, unutarnji poslovi, i sl.); sastanci na nivou pomoćnika ministra; sastanci na nivou načelnika i zamjenika generalštabova OS, policijskih šefova, glavnih tužilaca i sl.; sastanci eksperata; različiti formati konferencija, seminara, radionica, okruglih stolova i sl.; formiranje ili korištenje centara za obuku i edukaciju, upotreba mobilnih timova za obuku; razmjena instruktora; zajedničke vježbe; istraživački projekti, sportska takmičenja; itd.</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t>ZAKLJUČAK</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1909E5">
        <w:rPr>
          <w:rFonts w:ascii="Adobe Garamond Pro" w:hAnsi="Adobe Garamond Pro" w:cs="Times New Roman"/>
          <w:sz w:val="20"/>
          <w:szCs w:val="20"/>
          <w:lang w:val="bs-Latn-BA"/>
        </w:rPr>
        <w:t>Nakon elaboracije regionalne suradnje na Zapadnom Balkanu u kojoj BiH aktivno učestvuje i poredeći je sa ponuđenim teorisjkim okvirom moguće je izvući nekoliko zaključaka i postaviti nekoliko pitanja relevantnih za buduća istraživanja:</w:t>
      </w:r>
      <w:r>
        <w:rPr>
          <w:rFonts w:ascii="Adobe Garamond Pro" w:hAnsi="Adobe Garamond Pro" w:cs="Times New Roman"/>
          <w:sz w:val="20"/>
          <w:szCs w:val="20"/>
          <w:lang w:val="bs-Latn-BA"/>
        </w:rPr>
        <w:t xml:space="preserve"> </w:t>
      </w:r>
      <w:r w:rsidRPr="001909E5">
        <w:rPr>
          <w:rFonts w:ascii="Adobe Garamond Pro" w:hAnsi="Adobe Garamond Pro" w:cs="Times New Roman"/>
          <w:sz w:val="20"/>
          <w:szCs w:val="20"/>
          <w:lang w:val="bs-Latn-BA"/>
        </w:rPr>
        <w:t>Postojanje ovolikog broja institucija, organizacija i incijativa ukazuje na činjenicu da je međunarodna praksa regionalne suradnje na Zapadnom Balkanu vrlo razvijena i da, kao takva, osigurava okvir u kojem se može razvijati sigurnosna zajednica.  U tom okviru većina aktivnosti se odvija u skladu sa procesom socijalizacije koju primjenjuju, prije svega, NATO i EU kao glavni protagonisti euroatlanskih integracija, što ne isključuje i druge zainteresirane subjekte međunarodne zajednice koji u tome vide svoj interes.</w:t>
      </w:r>
      <w:r w:rsidRPr="001909E5">
        <w:rPr>
          <w:rFonts w:ascii="Adobe Garamond Pro" w:hAnsi="Adobe Garamond Pro" w:cs="Times New Roman"/>
          <w:sz w:val="20"/>
          <w:szCs w:val="20"/>
          <w:lang w:val="bs-Latn-BA"/>
        </w:rPr>
        <w:tab/>
      </w:r>
    </w:p>
    <w:p w:rsidR="001909E5" w:rsidRPr="001909E5" w:rsidRDefault="001909E5" w:rsidP="001909E5">
      <w:pPr>
        <w:spacing w:after="0" w:line="240" w:lineRule="auto"/>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lastRenderedPageBreak/>
        <w:t xml:space="preserve">Postojanje mnoštva regionalno-autohtonih incijativa međutim, svjedoči ne samo o prevalenciji omogućavajućih faktora oličenih u političkoj volji svih sudionika već i sposobnosti zemalja regiona da pravilno asimiliraju socijalizirajuće norme, pa čak i da im kroz proces kontekstualizacije i kreacije, udahnu jednu sasvim novu dimenziju doprinoseći na taj način razvoju same međunarodne prakse. Ovaj proces se, s jedne strane dešava na način da svaka država domaćin nekog sastanka ili samita nastoji da bude upamćena po sopstvenom doprinosu pokušavajući inicirati neku novu organizaciju/instituciju (što u konačnom može rezultirati nekontroliranoj proliferaciji), ili, s druge strane, ukoliko se ne radi o formiranju novih onda se nastoji dati smisao postojećim, što nerijetko rezultira vrlo dobrim inicijativama. Sve to također jasno svjedoči o postojanju Poulliotove prakse praktičnosti u domenu Checkelove internalizacije Tipa II. </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No, istovremeno, vrijedi postaviti pitanje u kojoj mjeri dominira koja vrsta logike s obzirom na činjenicu da NATO i EU insistiraju na regionalnoj suradnji kao uvjetu za članstvo i da, u tom kontekstu, logika praktičnosti oličena u sopstvenom interesu može ipak biti dominantni </w:t>
      </w:r>
      <w:r w:rsidRPr="001909E5">
        <w:rPr>
          <w:rFonts w:ascii="Adobe Garamond Pro" w:hAnsi="Adobe Garamond Pro" w:cs="Times New Roman"/>
          <w:i/>
          <w:sz w:val="20"/>
          <w:szCs w:val="20"/>
          <w:lang w:val="bs-Latn-BA"/>
        </w:rPr>
        <w:t>modus operandi</w:t>
      </w:r>
      <w:r w:rsidRPr="001909E5">
        <w:rPr>
          <w:rFonts w:ascii="Adobe Garamond Pro" w:hAnsi="Adobe Garamond Pro" w:cs="Times New Roman"/>
          <w:sz w:val="20"/>
          <w:szCs w:val="20"/>
          <w:lang w:val="bs-Latn-BA"/>
        </w:rPr>
        <w:t xml:space="preserve"> država regiona. Ovakvom pitanju doprinosi i činjenica da postoji mnoštvo inicijativa koje se suštinski dupliraju ali da su inicirane željom pojedinih sudionika za demonstracijom vlastite sposobnosti za preuzimanjem liderske pozicije.</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Analizirajući mogućnost djelovanja treće varijable Adlera i Barnetta koja se odnosi na međusobno povjerenje i izgradnju identiteta kao željenog stanja sigurnosne zajednice teško je potvrditi da se može govoriti o novom identitetu u nastajanju. Ipak, ima razloga za vjerovanje da ovoliki broj transakcija doprinosi kreiranju “mreža” ili “zajednica interesa” što pomaže razbijanju predrasuda i olakšava kooperativnost na ekspertskom nivou, kao i da toliki  broj transakcija, namjerno ili ne, doprinosi i izgradnji povjerenja u dijelu da je jako teško sakriti loše namjere. </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Kada je u pitanju BiH, može se konstatirati da je zapravo vrlo malo regionalnih incijativa u kojima ova zemlja ne učestvuje. Posmatrajući njeno vanjsko-političko opredjeljenje sasvim je jasno da je BiH opredjeljena za regionalnu suradnju u svim aspektima. Istovremeno, vrijedilo bi istražiti u kojoj mjeri se sklonost BiH regionalnoj suradnji odnosi na njene aspiracije za članstvo u NATO i EU, a u kojoj mjeri je to pitanje unutarnje stabilnosti koja je sudbonosno vezana za njene susjede u kontekstu konstitutivnosti njenih naroda? Kako god, svojim aktivnim učešćem u većini inicijativa i svojim, nerijetko vrlo kreativnim doprinosom, može se izraziti uvjerenje da BiH doprinosi izgradnji povjerenja i miroljubivom rješavanju sukoba u regionu iz čega slijedi da BiH konstruktivno doprinosi izgradnji sigurnosne zajednice na Zapadnom Balkanu.</w:t>
      </w:r>
    </w:p>
    <w:p w:rsid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Pr="001909E5" w:rsidRDefault="001909E5" w:rsidP="001909E5">
      <w:pPr>
        <w:spacing w:after="0" w:line="240" w:lineRule="auto"/>
        <w:ind w:firstLine="720"/>
        <w:jc w:val="both"/>
        <w:rPr>
          <w:rFonts w:ascii="Adobe Garamond Pro" w:hAnsi="Adobe Garamond Pro" w:cs="Times New Roman"/>
          <w:b/>
          <w:sz w:val="20"/>
          <w:szCs w:val="20"/>
          <w:lang w:val="bs-Latn-BA"/>
        </w:rPr>
      </w:pPr>
    </w:p>
    <w:p w:rsidR="001909E5" w:rsidRPr="001909E5" w:rsidRDefault="001909E5" w:rsidP="001909E5">
      <w:pPr>
        <w:spacing w:after="0" w:line="240" w:lineRule="auto"/>
        <w:jc w:val="both"/>
        <w:rPr>
          <w:rFonts w:ascii="Adobe Garamond Pro" w:hAnsi="Adobe Garamond Pro" w:cs="Times New Roman"/>
          <w:b/>
          <w:lang w:val="bs-Latn-BA"/>
        </w:rPr>
      </w:pPr>
      <w:r w:rsidRPr="001909E5">
        <w:rPr>
          <w:rFonts w:ascii="Adobe Garamond Pro" w:hAnsi="Adobe Garamond Pro" w:cs="Times New Roman"/>
          <w:b/>
          <w:lang w:val="bs-Latn-BA"/>
        </w:rPr>
        <w:lastRenderedPageBreak/>
        <w:t>LITERATURA</w:t>
      </w:r>
    </w:p>
    <w:p w:rsidR="001909E5" w:rsidRPr="001909E5" w:rsidRDefault="001909E5" w:rsidP="001909E5">
      <w:pPr>
        <w:spacing w:after="0" w:line="240" w:lineRule="auto"/>
        <w:ind w:firstLine="720"/>
        <w:jc w:val="both"/>
        <w:rPr>
          <w:rFonts w:ascii="Adobe Garamond Pro" w:hAnsi="Adobe Garamond Pro" w:cs="Times New Roman"/>
          <w:sz w:val="20"/>
          <w:szCs w:val="20"/>
          <w:lang w:val="bs-Latn-BA"/>
        </w:rPr>
      </w:pP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Adler, E. (2008) </w:t>
      </w:r>
      <w:r w:rsidRPr="001909E5">
        <w:rPr>
          <w:rFonts w:ascii="Adobe Garamond Pro" w:hAnsi="Adobe Garamond Pro" w:cs="Times New Roman"/>
          <w:i/>
          <w:sz w:val="20"/>
          <w:szCs w:val="20"/>
          <w:lang w:val="bs-Latn-BA"/>
        </w:rPr>
        <w:t>The Spread of security Communities: Communities of Practice, Self Resraint, and NATO's Post Cold War Transformation</w:t>
      </w:r>
      <w:r w:rsidRPr="001909E5">
        <w:rPr>
          <w:rFonts w:ascii="Adobe Garamond Pro" w:hAnsi="Adobe Garamond Pro" w:cs="Times New Roman"/>
          <w:sz w:val="20"/>
          <w:szCs w:val="20"/>
          <w:lang w:val="bs-Latn-BA"/>
        </w:rPr>
        <w:t>, European Journal of International relations, Vol. 14, No. 2, pp. 195-230.</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Adler, E. and Barnett, M. (ed.) (1998) </w:t>
      </w:r>
      <w:r w:rsidRPr="001909E5">
        <w:rPr>
          <w:rFonts w:ascii="Adobe Garamond Pro" w:hAnsi="Adobe Garamond Pro" w:cs="Times New Roman"/>
          <w:i/>
          <w:sz w:val="20"/>
          <w:szCs w:val="20"/>
          <w:lang w:val="bs-Latn-BA"/>
        </w:rPr>
        <w:t>Security Communities</w:t>
      </w:r>
      <w:r w:rsidRPr="001909E5">
        <w:rPr>
          <w:rFonts w:ascii="Adobe Garamond Pro" w:hAnsi="Adobe Garamond Pro" w:cs="Times New Roman"/>
          <w:sz w:val="20"/>
          <w:szCs w:val="20"/>
          <w:lang w:val="bs-Latn-BA"/>
        </w:rPr>
        <w:t>, Cambridge: Cambridge University Press.</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Adler, E. and Pouliot, </w:t>
      </w:r>
      <w:hyperlink r:id="rId8" w:history="1">
        <w:r w:rsidRPr="001909E5">
          <w:rPr>
            <w:rFonts w:ascii="Adobe Garamond Pro" w:hAnsi="Adobe Garamond Pro" w:cs="Times New Roman"/>
            <w:sz w:val="20"/>
            <w:szCs w:val="20"/>
            <w:lang w:val="bs-Latn-BA"/>
          </w:rPr>
          <w:t xml:space="preserve">V </w:t>
        </w:r>
      </w:hyperlink>
      <w:r w:rsidRPr="001909E5">
        <w:rPr>
          <w:rFonts w:ascii="Adobe Garamond Pro" w:hAnsi="Adobe Garamond Pro" w:cs="Times New Roman"/>
          <w:i/>
          <w:sz w:val="20"/>
          <w:szCs w:val="20"/>
          <w:lang w:val="bs-Latn-BA"/>
        </w:rPr>
        <w:t xml:space="preserve">. </w:t>
      </w:r>
      <w:r w:rsidRPr="001909E5">
        <w:rPr>
          <w:rFonts w:ascii="Adobe Garamond Pro" w:hAnsi="Adobe Garamond Pro" w:cs="Times New Roman"/>
          <w:sz w:val="20"/>
          <w:szCs w:val="20"/>
          <w:lang w:val="bs-Latn-BA"/>
        </w:rPr>
        <w:t>(ed.)</w:t>
      </w:r>
      <w:r w:rsidRPr="001909E5">
        <w:rPr>
          <w:rFonts w:ascii="Adobe Garamond Pro" w:hAnsi="Adobe Garamond Pro" w:cs="Times New Roman"/>
          <w:i/>
          <w:sz w:val="20"/>
          <w:szCs w:val="20"/>
          <w:lang w:val="bs-Latn-BA"/>
        </w:rPr>
        <w:t xml:space="preserve"> </w:t>
      </w:r>
      <w:r w:rsidRPr="001909E5">
        <w:rPr>
          <w:rFonts w:ascii="Adobe Garamond Pro" w:hAnsi="Adobe Garamond Pro" w:cs="Times New Roman"/>
          <w:sz w:val="20"/>
          <w:szCs w:val="20"/>
          <w:lang w:val="bs-Latn-BA"/>
        </w:rPr>
        <w:t xml:space="preserve">(2011) </w:t>
      </w:r>
      <w:r w:rsidRPr="001909E5">
        <w:rPr>
          <w:rFonts w:ascii="Adobe Garamond Pro" w:hAnsi="Adobe Garamond Pro" w:cs="Times New Roman"/>
          <w:i/>
          <w:sz w:val="20"/>
          <w:szCs w:val="20"/>
          <w:lang w:val="bs-Latn-BA"/>
        </w:rPr>
        <w:t>International Practices (Cambridge Studies in International Relations)</w:t>
      </w:r>
      <w:r w:rsidRPr="001909E5">
        <w:rPr>
          <w:rFonts w:ascii="Adobe Garamond Pro" w:hAnsi="Adobe Garamond Pro" w:cs="Times New Roman"/>
          <w:sz w:val="20"/>
          <w:szCs w:val="20"/>
          <w:lang w:val="bs-Latn-BA"/>
        </w:rPr>
        <w:t>. New York: Cambridge University Press.</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Bourdieu, </w:t>
      </w:r>
      <w:hyperlink r:id="rId9" w:history="1">
        <w:r w:rsidRPr="001909E5">
          <w:rPr>
            <w:rFonts w:ascii="Adobe Garamond Pro" w:hAnsi="Adobe Garamond Pro" w:cs="Times New Roman"/>
            <w:sz w:val="20"/>
            <w:szCs w:val="20"/>
            <w:lang w:val="bs-Latn-BA"/>
          </w:rPr>
          <w:t xml:space="preserve">P. </w:t>
        </w:r>
      </w:hyperlink>
      <w:r w:rsidRPr="001909E5">
        <w:rPr>
          <w:rFonts w:ascii="Adobe Garamond Pro" w:hAnsi="Adobe Garamond Pro" w:cs="Times New Roman"/>
          <w:sz w:val="20"/>
          <w:szCs w:val="20"/>
          <w:lang w:val="bs-Latn-BA"/>
        </w:rPr>
        <w:t xml:space="preserve"> (1990) </w:t>
      </w:r>
      <w:r w:rsidRPr="001909E5">
        <w:rPr>
          <w:rFonts w:ascii="Adobe Garamond Pro" w:hAnsi="Adobe Garamond Pro" w:cs="Times New Roman"/>
          <w:i/>
          <w:sz w:val="20"/>
          <w:szCs w:val="20"/>
          <w:lang w:val="bs-Latn-BA"/>
        </w:rPr>
        <w:t>The Logic of Practice</w:t>
      </w:r>
      <w:r w:rsidRPr="001909E5">
        <w:rPr>
          <w:rFonts w:ascii="Adobe Garamond Pro" w:hAnsi="Adobe Garamond Pro" w:cs="Times New Roman"/>
          <w:sz w:val="20"/>
          <w:szCs w:val="20"/>
          <w:lang w:val="bs-Latn-BA"/>
        </w:rPr>
        <w:t>, California: Stanford University Press.</w:t>
      </w:r>
    </w:p>
    <w:p w:rsidR="001909E5" w:rsidRPr="001909E5" w:rsidRDefault="001909E5" w:rsidP="001909E5">
      <w:pPr>
        <w:pStyle w:val="ListParagraph"/>
        <w:numPr>
          <w:ilvl w:val="0"/>
          <w:numId w:val="39"/>
        </w:numPr>
        <w:spacing w:after="0" w:line="240" w:lineRule="auto"/>
        <w:ind w:left="284" w:hanging="284"/>
        <w:jc w:val="both"/>
        <w:rPr>
          <w:rFonts w:ascii="Adobe Garamond Pro" w:eastAsia="Calibri" w:hAnsi="Adobe Garamond Pro" w:cs="Times New Roman"/>
          <w:sz w:val="20"/>
          <w:szCs w:val="20"/>
          <w:lang w:val="bs-Latn-BA"/>
        </w:rPr>
      </w:pPr>
      <w:r w:rsidRPr="001909E5">
        <w:rPr>
          <w:rFonts w:ascii="Adobe Garamond Pro" w:eastAsia="Calibri" w:hAnsi="Adobe Garamond Pro" w:cs="Times New Roman"/>
          <w:sz w:val="20"/>
          <w:szCs w:val="20"/>
          <w:lang w:val="bs-Latn-BA"/>
        </w:rPr>
        <w:t xml:space="preserve">Checkel, J. T. </w:t>
      </w:r>
      <w:r w:rsidRPr="001909E5">
        <w:rPr>
          <w:rFonts w:ascii="Adobe Garamond Pro" w:eastAsia="Calibri" w:hAnsi="Adobe Garamond Pro" w:cs="Times New Roman"/>
          <w:i/>
          <w:sz w:val="20"/>
          <w:szCs w:val="20"/>
          <w:lang w:val="bs-Latn-BA"/>
        </w:rPr>
        <w:t>International Institutions and Socialization in Europe: Introduction and Framework</w:t>
      </w:r>
      <w:r w:rsidRPr="001909E5">
        <w:rPr>
          <w:rFonts w:ascii="Adobe Garamond Pro" w:eastAsia="Calibri" w:hAnsi="Adobe Garamond Pro" w:cs="Times New Roman"/>
          <w:sz w:val="20"/>
          <w:szCs w:val="20"/>
          <w:lang w:val="bs-Latn-BA"/>
        </w:rPr>
        <w:t>. International Organizations. The IO Foundation. Vol. 59, Fall 2005. pp. 801-826.</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Dautović, K. (2007) </w:t>
      </w:r>
      <w:r w:rsidRPr="001909E5">
        <w:rPr>
          <w:rFonts w:ascii="Adobe Garamond Pro" w:hAnsi="Adobe Garamond Pro" w:cs="Times New Roman"/>
          <w:i/>
          <w:sz w:val="20"/>
          <w:szCs w:val="20"/>
          <w:lang w:val="bs-Latn-BA"/>
        </w:rPr>
        <w:t>Prevencija konflikata u međunarodnim odnosima</w:t>
      </w:r>
      <w:r w:rsidRPr="001909E5">
        <w:rPr>
          <w:rFonts w:ascii="Adobe Garamond Pro" w:hAnsi="Adobe Garamond Pro" w:cs="Times New Roman"/>
          <w:sz w:val="20"/>
          <w:szCs w:val="20"/>
          <w:lang w:val="bs-Latn-BA"/>
        </w:rPr>
        <w:t>, Travnik: BZK Preporod.</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Deutsch, K. W. et al. (1957) </w:t>
      </w:r>
      <w:r w:rsidRPr="001909E5">
        <w:rPr>
          <w:rFonts w:ascii="Adobe Garamond Pro" w:hAnsi="Adobe Garamond Pro" w:cs="Times New Roman"/>
          <w:i/>
          <w:sz w:val="20"/>
          <w:szCs w:val="20"/>
          <w:lang w:val="bs-Latn-BA"/>
        </w:rPr>
        <w:t>Political Community in the North Atlantic Area: International Organization in the Light of Historical Experience</w:t>
      </w:r>
      <w:r w:rsidRPr="001909E5">
        <w:rPr>
          <w:rFonts w:ascii="Adobe Garamond Pro" w:hAnsi="Adobe Garamond Pro" w:cs="Times New Roman"/>
          <w:sz w:val="20"/>
          <w:szCs w:val="20"/>
          <w:lang w:val="bs-Latn-BA"/>
        </w:rPr>
        <w:t>, New York: Princeton University Press.</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Deutsch, K. W. et al. (1968) </w:t>
      </w:r>
      <w:r w:rsidRPr="001909E5">
        <w:rPr>
          <w:rFonts w:ascii="Adobe Garamond Pro" w:hAnsi="Adobe Garamond Pro" w:cs="Times New Roman"/>
          <w:i/>
          <w:sz w:val="20"/>
          <w:szCs w:val="20"/>
          <w:lang w:val="bs-Latn-BA"/>
        </w:rPr>
        <w:t>The Analysis of International Relations</w:t>
      </w:r>
      <w:r w:rsidRPr="001909E5">
        <w:rPr>
          <w:rFonts w:ascii="Adobe Garamond Pro" w:hAnsi="Adobe Garamond Pro" w:cs="Times New Roman"/>
          <w:sz w:val="20"/>
          <w:szCs w:val="20"/>
          <w:lang w:val="bs-Latn-BA"/>
        </w:rPr>
        <w:t>. New Jersey: Prentice Hall.</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François, I. (2000) ‘Partnership: One of NATO’s Fundamental Security Tasks’. </w:t>
      </w:r>
      <w:r w:rsidRPr="001909E5">
        <w:rPr>
          <w:rFonts w:ascii="Adobe Garamond Pro" w:hAnsi="Adobe Garamond Pro" w:cs="Times New Roman"/>
          <w:i/>
          <w:sz w:val="20"/>
          <w:szCs w:val="20"/>
          <w:lang w:val="bs-Latn-BA"/>
        </w:rPr>
        <w:t>NATO Review,</w:t>
      </w:r>
      <w:r w:rsidRPr="001909E5">
        <w:rPr>
          <w:rFonts w:ascii="Adobe Garamond Pro" w:hAnsi="Adobe Garamond Pro" w:cs="Times New Roman"/>
          <w:sz w:val="20"/>
          <w:szCs w:val="20"/>
          <w:lang w:val="bs-Latn-BA"/>
        </w:rPr>
        <w:t xml:space="preserve"> Vol. 48, No. 2, pp. 27-30.</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Lopandić, D i Kronja, J. (2010) </w:t>
      </w:r>
      <w:r w:rsidRPr="001909E5">
        <w:rPr>
          <w:rFonts w:ascii="Adobe Garamond Pro" w:hAnsi="Adobe Garamond Pro" w:cs="Times New Roman"/>
          <w:i/>
          <w:sz w:val="20"/>
          <w:szCs w:val="20"/>
          <w:lang w:val="bs-Latn-BA"/>
        </w:rPr>
        <w:t>Regionalne incijative i multilateralna saradnja na Balkanu,</w:t>
      </w:r>
      <w:r w:rsidRPr="001909E5">
        <w:rPr>
          <w:rFonts w:ascii="Adobe Garamond Pro" w:hAnsi="Adobe Garamond Pro" w:cs="Times New Roman"/>
          <w:sz w:val="20"/>
          <w:szCs w:val="20"/>
          <w:lang w:val="bs-Latn-BA"/>
        </w:rPr>
        <w:t xml:space="preserve"> drugo dopunjeno izdanje, Beograd: Evropski pokret u Srbiji.</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Nolan, J. E. (ed.) (1994) </w:t>
      </w:r>
      <w:r w:rsidRPr="001909E5">
        <w:rPr>
          <w:rFonts w:ascii="Adobe Garamond Pro" w:hAnsi="Adobe Garamond Pro" w:cs="Times New Roman"/>
          <w:i/>
          <w:sz w:val="20"/>
          <w:szCs w:val="20"/>
          <w:lang w:val="bs-Latn-BA"/>
        </w:rPr>
        <w:t>Global Engagement: Cooperation and Security in the 21</w:t>
      </w:r>
      <w:r w:rsidRPr="001909E5">
        <w:rPr>
          <w:rFonts w:ascii="Adobe Garamond Pro" w:hAnsi="Adobe Garamond Pro" w:cs="Times New Roman"/>
          <w:i/>
          <w:sz w:val="20"/>
          <w:szCs w:val="20"/>
          <w:vertAlign w:val="superscript"/>
          <w:lang w:val="bs-Latn-BA"/>
        </w:rPr>
        <w:t>st</w:t>
      </w:r>
      <w:r w:rsidRPr="001909E5">
        <w:rPr>
          <w:rFonts w:ascii="Adobe Garamond Pro" w:hAnsi="Adobe Garamond Pro" w:cs="Times New Roman"/>
          <w:i/>
          <w:sz w:val="20"/>
          <w:szCs w:val="20"/>
          <w:lang w:val="bs-Latn-BA"/>
        </w:rPr>
        <w:t xml:space="preserve"> Century.</w:t>
      </w:r>
      <w:r w:rsidRPr="001909E5">
        <w:rPr>
          <w:rFonts w:ascii="Adobe Garamond Pro" w:hAnsi="Adobe Garamond Pro" w:cs="Times New Roman"/>
          <w:sz w:val="20"/>
          <w:szCs w:val="20"/>
          <w:lang w:val="bs-Latn-BA"/>
        </w:rPr>
        <w:t xml:space="preserve"> Washington DC: The Brooking institution.</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Pouliot, V. (2008) The Logic of Practicality: A Theory of Practice of security Communities. International Organizations, Vol. 62, pp. 257-288.</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i/>
          <w:sz w:val="20"/>
          <w:szCs w:val="20"/>
          <w:lang w:val="bs-Latn-BA"/>
        </w:rPr>
        <w:t>Regional Security Strategy from the Perspective of the Civil Society</w:t>
      </w:r>
      <w:r w:rsidRPr="001909E5">
        <w:rPr>
          <w:rFonts w:ascii="Adobe Garamond Pro" w:hAnsi="Adobe Garamond Pro" w:cs="Times New Roman"/>
          <w:sz w:val="20"/>
          <w:szCs w:val="20"/>
          <w:lang w:val="bs-Latn-BA"/>
        </w:rPr>
        <w:t>. A project of the Atlantic Treaty Organization, 2006.</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Sigurnosna politika Bosne i Hercegovine, Predsjedništvo BiH, 2006.</w:t>
      </w:r>
    </w:p>
    <w:p w:rsidR="001909E5" w:rsidRPr="001909E5" w:rsidRDefault="001909E5" w:rsidP="001909E5">
      <w:pPr>
        <w:pStyle w:val="ListParagraph"/>
        <w:numPr>
          <w:ilvl w:val="0"/>
          <w:numId w:val="39"/>
        </w:numPr>
        <w:spacing w:after="0" w:line="240" w:lineRule="auto"/>
        <w:ind w:left="284" w:hanging="284"/>
        <w:jc w:val="both"/>
        <w:rPr>
          <w:rFonts w:ascii="Adobe Garamond Pro" w:hAnsi="Adobe Garamond Pro" w:cs="Times New Roman"/>
          <w:sz w:val="20"/>
          <w:szCs w:val="20"/>
          <w:lang w:val="bs-Latn-BA"/>
        </w:rPr>
      </w:pPr>
      <w:r w:rsidRPr="001909E5">
        <w:rPr>
          <w:rFonts w:ascii="Adobe Garamond Pro" w:hAnsi="Adobe Garamond Pro" w:cs="Times New Roman"/>
          <w:sz w:val="20"/>
          <w:szCs w:val="20"/>
          <w:lang w:val="bs-Latn-BA"/>
        </w:rPr>
        <w:t xml:space="preserve">Van Wagenen, </w:t>
      </w:r>
      <w:hyperlink r:id="rId10" w:history="1">
        <w:r w:rsidRPr="001909E5">
          <w:rPr>
            <w:rFonts w:ascii="Adobe Garamond Pro" w:hAnsi="Adobe Garamond Pro" w:cs="Times New Roman"/>
            <w:sz w:val="20"/>
            <w:szCs w:val="20"/>
            <w:lang w:val="bs-Latn-BA"/>
          </w:rPr>
          <w:t xml:space="preserve">R. W. </w:t>
        </w:r>
      </w:hyperlink>
      <w:r w:rsidRPr="001909E5">
        <w:rPr>
          <w:rFonts w:ascii="Adobe Garamond Pro" w:hAnsi="Adobe Garamond Pro" w:cs="Times New Roman"/>
          <w:sz w:val="20"/>
          <w:szCs w:val="20"/>
          <w:lang w:val="bs-Latn-BA"/>
        </w:rPr>
        <w:t xml:space="preserve">(1952) </w:t>
      </w:r>
      <w:r w:rsidRPr="001909E5">
        <w:rPr>
          <w:rFonts w:ascii="Adobe Garamond Pro" w:hAnsi="Adobe Garamond Pro" w:cs="Times New Roman"/>
          <w:i/>
          <w:sz w:val="20"/>
          <w:szCs w:val="20"/>
          <w:lang w:val="bs-Latn-BA"/>
        </w:rPr>
        <w:t>Research in the International Organization Field</w:t>
      </w:r>
      <w:r w:rsidRPr="001909E5">
        <w:rPr>
          <w:rFonts w:ascii="Adobe Garamond Pro" w:hAnsi="Adobe Garamond Pro" w:cs="Times New Roman"/>
          <w:sz w:val="20"/>
          <w:szCs w:val="20"/>
          <w:lang w:val="bs-Latn-BA"/>
        </w:rPr>
        <w:t>, New York: Princeton - Center for Research on World political Institutions.</w:t>
      </w:r>
    </w:p>
    <w:p w:rsidR="001909E5" w:rsidRPr="001909E5" w:rsidRDefault="001909E5" w:rsidP="001909E5">
      <w:pPr>
        <w:pStyle w:val="ListParagraph"/>
        <w:numPr>
          <w:ilvl w:val="0"/>
          <w:numId w:val="39"/>
        </w:numPr>
        <w:spacing w:after="0" w:line="240" w:lineRule="auto"/>
        <w:ind w:left="284" w:hanging="284"/>
        <w:rPr>
          <w:rFonts w:ascii="Adobe Garamond Pro" w:eastAsia="Times New Roman" w:hAnsi="Adobe Garamond Pro" w:cs="Times New Roman"/>
          <w:color w:val="000000"/>
          <w:sz w:val="20"/>
          <w:szCs w:val="20"/>
          <w:lang w:val="bs-Latn-BA"/>
        </w:rPr>
      </w:pPr>
      <w:r w:rsidRPr="001909E5">
        <w:rPr>
          <w:rFonts w:ascii="Adobe Garamond Pro" w:hAnsi="Adobe Garamond Pro" w:cs="Times New Roman"/>
          <w:sz w:val="20"/>
          <w:szCs w:val="20"/>
          <w:lang w:val="bs-Latn-BA"/>
        </w:rPr>
        <w:t xml:space="preserve">Van Wagenen, </w:t>
      </w:r>
      <w:hyperlink r:id="rId11" w:history="1">
        <w:r w:rsidRPr="001909E5">
          <w:rPr>
            <w:rFonts w:ascii="Adobe Garamond Pro" w:hAnsi="Adobe Garamond Pro" w:cs="Times New Roman"/>
            <w:sz w:val="20"/>
            <w:szCs w:val="20"/>
            <w:lang w:val="bs-Latn-BA"/>
          </w:rPr>
          <w:t xml:space="preserve">R. W. </w:t>
        </w:r>
      </w:hyperlink>
      <w:r w:rsidRPr="001909E5">
        <w:rPr>
          <w:rFonts w:ascii="Adobe Garamond Pro" w:eastAsia="Times New Roman" w:hAnsi="Adobe Garamond Pro" w:cs="Times New Roman"/>
          <w:color w:val="000000"/>
          <w:sz w:val="20"/>
          <w:szCs w:val="20"/>
          <w:lang w:val="bs-Latn-BA"/>
        </w:rPr>
        <w:t xml:space="preserve"> (1965) ‘The Concept of Community and the Future of the United Nations’, </w:t>
      </w:r>
      <w:r w:rsidRPr="001909E5">
        <w:rPr>
          <w:rFonts w:ascii="Adobe Garamond Pro" w:eastAsia="Times New Roman" w:hAnsi="Adobe Garamond Pro" w:cs="Times New Roman"/>
          <w:i/>
          <w:color w:val="000000"/>
          <w:sz w:val="20"/>
          <w:szCs w:val="20"/>
          <w:lang w:val="bs-Latn-BA"/>
        </w:rPr>
        <w:t>International Organizations</w:t>
      </w:r>
      <w:r w:rsidRPr="001909E5">
        <w:rPr>
          <w:rFonts w:ascii="Adobe Garamond Pro" w:eastAsia="Times New Roman" w:hAnsi="Adobe Garamond Pro" w:cs="Times New Roman"/>
          <w:color w:val="000000"/>
          <w:sz w:val="20"/>
          <w:szCs w:val="20"/>
          <w:lang w:val="bs-Latn-BA"/>
        </w:rPr>
        <w:t>, XIX, pp. 812-827.</w:t>
      </w:r>
    </w:p>
    <w:p w:rsidR="00BF2DBF" w:rsidRDefault="00BF2DBF">
      <w:pPr>
        <w:rPr>
          <w:rFonts w:ascii="Adobe Garamond Pro" w:hAnsi="Adobe Garamond Pro"/>
          <w:b/>
        </w:rPr>
      </w:pPr>
      <w:r>
        <w:rPr>
          <w:rFonts w:ascii="Adobe Garamond Pro" w:hAnsi="Adobe Garamond Pro"/>
          <w:b/>
        </w:rPr>
        <w:br w:type="page"/>
      </w:r>
    </w:p>
    <w:p w:rsidR="006062C1" w:rsidRDefault="006062C1" w:rsidP="001909E5">
      <w:pPr>
        <w:spacing w:after="0" w:line="240" w:lineRule="auto"/>
        <w:jc w:val="both"/>
        <w:rPr>
          <w:rFonts w:ascii="Adobe Garamond Pro" w:hAnsi="Adobe Garamond Pro"/>
          <w:b/>
        </w:rPr>
      </w:pPr>
    </w:p>
    <w:sectPr w:rsidR="006062C1" w:rsidSect="00153093">
      <w:headerReference w:type="even" r:id="rId12"/>
      <w:headerReference w:type="default" r:id="rId13"/>
      <w:footerReference w:type="even" r:id="rId14"/>
      <w:footerReference w:type="default" r:id="rId15"/>
      <w:headerReference w:type="first" r:id="rId16"/>
      <w:footerReference w:type="first" r:id="rId17"/>
      <w:type w:val="continuous"/>
      <w:pgSz w:w="10319" w:h="14578" w:code="138"/>
      <w:pgMar w:top="-1843" w:right="1389" w:bottom="1985" w:left="1701" w:header="1134" w:footer="1418" w:gutter="0"/>
      <w:pgNumType w:start="7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50" w:rsidRDefault="00BA6B50" w:rsidP="000C691C">
      <w:pPr>
        <w:spacing w:after="0" w:line="240" w:lineRule="auto"/>
      </w:pPr>
      <w:r>
        <w:separator/>
      </w:r>
    </w:p>
  </w:endnote>
  <w:endnote w:type="continuationSeparator" w:id="1">
    <w:p w:rsidR="00BA6B50" w:rsidRDefault="00BA6B50"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A824C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067D0">
      <w:rPr>
        <w:rFonts w:ascii="Adobe Garamond Pro" w:hAnsi="Adobe Garamond Pro" w:cs="Times New Roman"/>
        <w:noProof/>
        <w:sz w:val="20"/>
        <w:szCs w:val="20"/>
      </w:rPr>
      <w:t>728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A824C9"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A824C9" w:rsidRPr="00FE57C1">
      <w:rPr>
        <w:rFonts w:ascii="Adobe Garamond Pro" w:hAnsi="Adobe Garamond Pro" w:cs="Times New Roman"/>
        <w:sz w:val="20"/>
        <w:szCs w:val="20"/>
      </w:rPr>
      <w:fldChar w:fldCharType="separate"/>
    </w:r>
    <w:r w:rsidR="00D067D0">
      <w:rPr>
        <w:rFonts w:ascii="Adobe Garamond Pro" w:hAnsi="Adobe Garamond Pro" w:cs="Times New Roman"/>
        <w:noProof/>
        <w:sz w:val="20"/>
        <w:szCs w:val="20"/>
      </w:rPr>
      <w:t>729</w:t>
    </w:r>
    <w:r w:rsidR="00A824C9"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A824C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067D0">
      <w:rPr>
        <w:rFonts w:ascii="Adobe Garamond Pro" w:hAnsi="Adobe Garamond Pro" w:cs="Times New Roman"/>
        <w:noProof/>
        <w:sz w:val="20"/>
        <w:szCs w:val="20"/>
      </w:rPr>
      <w:t>727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50" w:rsidRDefault="00BA6B50" w:rsidP="000C691C">
      <w:pPr>
        <w:spacing w:after="0" w:line="240" w:lineRule="auto"/>
      </w:pPr>
      <w:r>
        <w:separator/>
      </w:r>
    </w:p>
  </w:footnote>
  <w:footnote w:type="continuationSeparator" w:id="1">
    <w:p w:rsidR="00BA6B50" w:rsidRDefault="00BA6B50" w:rsidP="000C691C">
      <w:pPr>
        <w:spacing w:after="0" w:line="240" w:lineRule="auto"/>
      </w:pPr>
      <w:r>
        <w:continuationSeparator/>
      </w:r>
    </w:p>
  </w:footnote>
  <w:footnote w:id="2">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Polustruktuirani intervju je obavljen sa 20 relevantnih  ispitanika iz sastava Ministarstva odbrane i Oružanih snaga BiH u period mart-maj 2012. godine u okviru međunarodnog istraživačkog projekta pod nazivom “Sigurnosna tranzicija na Zapadnom Balkanu – od konfliktne zone do sigurnosne zajednice?” koji je sponzoriran od Norveškog istraživačkog vijeća (NRC) a mentoriran od Norveškog institute za međunarodnu politiku (NUPI). Projekta je relaiziran u period 2010-2013 od konzorcija think tankova sa Zapadnog Balkana u kojem je učestvovao i Centar za sigurnosne studije iz Sarajeva (CSS).</w:t>
      </w:r>
    </w:p>
  </w:footnote>
  <w:footnote w:id="3">
    <w:p w:rsidR="001909E5" w:rsidRPr="001909E5" w:rsidRDefault="001909E5" w:rsidP="001909E5">
      <w:pPr>
        <w:spacing w:after="0" w:line="240" w:lineRule="auto"/>
        <w:jc w:val="both"/>
        <w:rPr>
          <w:rFonts w:ascii="Adobe Garamond Pro" w:hAnsi="Adobe Garamond Pro"/>
          <w:sz w:val="18"/>
          <w:szCs w:val="18"/>
        </w:rPr>
      </w:pPr>
      <w:r w:rsidRPr="001909E5">
        <w:rPr>
          <w:rStyle w:val="FootnoteReference"/>
          <w:rFonts w:ascii="Adobe Garamond Pro" w:hAnsi="Adobe Garamond Pro" w:cs="Times New Roman"/>
          <w:sz w:val="18"/>
          <w:szCs w:val="18"/>
        </w:rPr>
        <w:footnoteRef/>
      </w:r>
      <w:r w:rsidRPr="001909E5">
        <w:rPr>
          <w:rFonts w:ascii="Adobe Garamond Pro" w:hAnsi="Adobe Garamond Pro" w:cs="Times New Roman"/>
          <w:sz w:val="18"/>
          <w:szCs w:val="18"/>
        </w:rPr>
        <w:t xml:space="preserve"> Više vidjeti u - Dautović, K. (2007). </w:t>
      </w:r>
      <w:r w:rsidRPr="001909E5">
        <w:rPr>
          <w:rFonts w:ascii="Adobe Garamond Pro" w:hAnsi="Adobe Garamond Pro" w:cs="Times New Roman"/>
          <w:i/>
          <w:sz w:val="18"/>
          <w:szCs w:val="18"/>
        </w:rPr>
        <w:t>Prevencija konflikata u međunarodnim odnosima</w:t>
      </w:r>
      <w:r w:rsidRPr="001909E5">
        <w:rPr>
          <w:rFonts w:ascii="Adobe Garamond Pro" w:hAnsi="Adobe Garamond Pro" w:cs="Times New Roman"/>
          <w:sz w:val="18"/>
          <w:szCs w:val="18"/>
        </w:rPr>
        <w:t>, Travnik: BZK Preporod.</w:t>
      </w:r>
    </w:p>
  </w:footnote>
  <w:footnote w:id="4">
    <w:p w:rsidR="001909E5" w:rsidRPr="001909E5" w:rsidRDefault="001909E5" w:rsidP="001909E5">
      <w:pPr>
        <w:spacing w:after="0" w:line="240" w:lineRule="auto"/>
        <w:jc w:val="both"/>
        <w:rPr>
          <w:rFonts w:ascii="Adobe Garamond Pro" w:hAnsi="Adobe Garamond Pro" w:cs="Times New Roman"/>
          <w:sz w:val="18"/>
          <w:szCs w:val="18"/>
        </w:rPr>
      </w:pPr>
      <w:r w:rsidRPr="001909E5">
        <w:rPr>
          <w:rStyle w:val="FootnoteReference"/>
          <w:rFonts w:ascii="Adobe Garamond Pro" w:hAnsi="Adobe Garamond Pro" w:cs="Times New Roman"/>
          <w:sz w:val="18"/>
          <w:szCs w:val="18"/>
        </w:rPr>
        <w:footnoteRef/>
      </w:r>
      <w:r w:rsidRPr="001909E5">
        <w:rPr>
          <w:rFonts w:ascii="Adobe Garamond Pro" w:hAnsi="Adobe Garamond Pro" w:cs="Times New Roman"/>
          <w:sz w:val="18"/>
          <w:szCs w:val="18"/>
        </w:rPr>
        <w:t xml:space="preserve"> Deutsch, K. W. et al. (1957) Political Community in the North Atlantic Area: International Organization in the Light of Historical Experience, New York: Princeton University Press, pp. 5.</w:t>
      </w:r>
    </w:p>
  </w:footnote>
  <w:footnote w:id="5">
    <w:p w:rsidR="001909E5" w:rsidRPr="001909E5" w:rsidRDefault="001909E5" w:rsidP="001909E5">
      <w:pPr>
        <w:spacing w:after="0" w:line="240" w:lineRule="auto"/>
        <w:jc w:val="both"/>
        <w:rPr>
          <w:rFonts w:ascii="Adobe Garamond Pro" w:hAnsi="Adobe Garamond Pro" w:cs="Times New Roman"/>
          <w:sz w:val="18"/>
          <w:szCs w:val="18"/>
        </w:rPr>
      </w:pPr>
      <w:r w:rsidRPr="001909E5">
        <w:rPr>
          <w:rStyle w:val="FootnoteReference"/>
          <w:rFonts w:ascii="Adobe Garamond Pro" w:hAnsi="Adobe Garamond Pro" w:cs="Times New Roman"/>
          <w:sz w:val="18"/>
          <w:szCs w:val="18"/>
        </w:rPr>
        <w:footnoteRef/>
      </w:r>
      <w:r w:rsidRPr="001909E5">
        <w:rPr>
          <w:rFonts w:ascii="Adobe Garamond Pro" w:hAnsi="Adobe Garamond Pro" w:cs="Times New Roman"/>
          <w:sz w:val="18"/>
          <w:szCs w:val="18"/>
        </w:rPr>
        <w:t xml:space="preserve"> Deutsch, K. (1968) </w:t>
      </w:r>
      <w:r w:rsidRPr="001909E5">
        <w:rPr>
          <w:rFonts w:ascii="Adobe Garamond Pro" w:hAnsi="Adobe Garamond Pro" w:cs="Times New Roman"/>
          <w:i/>
          <w:sz w:val="18"/>
          <w:szCs w:val="18"/>
        </w:rPr>
        <w:t>The Analysis of International Relations.</w:t>
      </w:r>
      <w:r w:rsidRPr="001909E5">
        <w:rPr>
          <w:rFonts w:ascii="Adobe Garamond Pro" w:hAnsi="Adobe Garamond Pro" w:cs="Times New Roman"/>
          <w:sz w:val="18"/>
          <w:szCs w:val="18"/>
        </w:rPr>
        <w:t xml:space="preserve"> New Jersey: Prentice Hall, pp. 272.</w:t>
      </w:r>
    </w:p>
  </w:footnote>
  <w:footnote w:id="6">
    <w:p w:rsidR="001909E5" w:rsidRPr="001909E5" w:rsidRDefault="001909E5" w:rsidP="001909E5">
      <w:pPr>
        <w:spacing w:after="0" w:line="240" w:lineRule="auto"/>
        <w:jc w:val="both"/>
        <w:rPr>
          <w:rFonts w:ascii="Adobe Garamond Pro" w:hAnsi="Adobe Garamond Pro" w:cs="Times New Roman"/>
          <w:sz w:val="18"/>
          <w:szCs w:val="18"/>
        </w:rPr>
      </w:pPr>
      <w:r w:rsidRPr="001909E5">
        <w:rPr>
          <w:rStyle w:val="FootnoteReference"/>
          <w:rFonts w:ascii="Adobe Garamond Pro" w:hAnsi="Adobe Garamond Pro" w:cs="Times New Roman"/>
          <w:sz w:val="18"/>
          <w:szCs w:val="18"/>
        </w:rPr>
        <w:footnoteRef/>
      </w:r>
      <w:r w:rsidRPr="001909E5">
        <w:rPr>
          <w:rFonts w:ascii="Adobe Garamond Pro" w:hAnsi="Adobe Garamond Pro" w:cs="Times New Roman"/>
          <w:sz w:val="18"/>
          <w:szCs w:val="18"/>
        </w:rPr>
        <w:t xml:space="preserve"> Adler and Barnett (ed.) (1998) </w:t>
      </w:r>
      <w:r w:rsidRPr="001909E5">
        <w:rPr>
          <w:rFonts w:ascii="Adobe Garamond Pro" w:hAnsi="Adobe Garamond Pro" w:cs="Times New Roman"/>
          <w:i/>
          <w:sz w:val="18"/>
          <w:szCs w:val="18"/>
        </w:rPr>
        <w:t>Security Communities</w:t>
      </w:r>
      <w:r w:rsidRPr="001909E5">
        <w:rPr>
          <w:rFonts w:ascii="Adobe Garamond Pro" w:hAnsi="Adobe Garamond Pro" w:cs="Times New Roman"/>
          <w:sz w:val="18"/>
          <w:szCs w:val="18"/>
        </w:rPr>
        <w:t>, Cambridge: Cambridge University Press, pp. 7-9</w:t>
      </w:r>
    </w:p>
    <w:p w:rsidR="001909E5" w:rsidRPr="001909E5" w:rsidRDefault="001909E5" w:rsidP="001909E5">
      <w:pPr>
        <w:pStyle w:val="FootnoteText"/>
        <w:rPr>
          <w:rFonts w:ascii="Adobe Garamond Pro" w:hAnsi="Adobe Garamond Pro"/>
          <w:sz w:val="18"/>
          <w:szCs w:val="18"/>
        </w:rPr>
      </w:pPr>
    </w:p>
  </w:footnote>
  <w:footnote w:id="7">
    <w:p w:rsidR="001909E5" w:rsidRPr="001909E5" w:rsidRDefault="001909E5" w:rsidP="001909E5">
      <w:pPr>
        <w:spacing w:after="0" w:line="240" w:lineRule="auto"/>
        <w:jc w:val="both"/>
        <w:rPr>
          <w:rFonts w:ascii="Adobe Garamond Pro" w:hAnsi="Adobe Garamond Pro" w:cs="Times New Roman"/>
          <w:sz w:val="18"/>
          <w:szCs w:val="18"/>
        </w:rPr>
      </w:pPr>
      <w:r w:rsidRPr="001909E5">
        <w:rPr>
          <w:rStyle w:val="FootnoteReference"/>
          <w:rFonts w:ascii="Adobe Garamond Pro" w:hAnsi="Adobe Garamond Pro" w:cs="Times New Roman"/>
          <w:sz w:val="18"/>
          <w:szCs w:val="18"/>
        </w:rPr>
        <w:footnoteRef/>
      </w:r>
      <w:r w:rsidRPr="001909E5">
        <w:rPr>
          <w:rFonts w:ascii="Adobe Garamond Pro" w:hAnsi="Adobe Garamond Pro" w:cs="Times New Roman"/>
          <w:sz w:val="18"/>
          <w:szCs w:val="18"/>
        </w:rPr>
        <w:t xml:space="preserve"> Adler, E. and Pouliot, </w:t>
      </w:r>
      <w:hyperlink r:id="rId1" w:history="1">
        <w:r w:rsidRPr="001909E5">
          <w:rPr>
            <w:rFonts w:ascii="Adobe Garamond Pro" w:hAnsi="Adobe Garamond Pro" w:cs="Times New Roman"/>
            <w:sz w:val="18"/>
            <w:szCs w:val="18"/>
          </w:rPr>
          <w:t xml:space="preserve">V </w:t>
        </w:r>
      </w:hyperlink>
      <w:r w:rsidRPr="001909E5">
        <w:rPr>
          <w:rFonts w:ascii="Adobe Garamond Pro" w:hAnsi="Adobe Garamond Pro" w:cs="Times New Roman"/>
          <w:sz w:val="18"/>
          <w:szCs w:val="18"/>
        </w:rPr>
        <w:t xml:space="preserve">. (ed.) (2011) </w:t>
      </w:r>
      <w:r w:rsidRPr="001909E5">
        <w:rPr>
          <w:rFonts w:ascii="Adobe Garamond Pro" w:hAnsi="Adobe Garamond Pro" w:cs="Times New Roman"/>
          <w:i/>
          <w:sz w:val="18"/>
          <w:szCs w:val="18"/>
        </w:rPr>
        <w:t>International Practices (Cambridge Studies in International Relations),</w:t>
      </w:r>
      <w:r w:rsidRPr="001909E5">
        <w:rPr>
          <w:rFonts w:ascii="Adobe Garamond Pro" w:hAnsi="Adobe Garamond Pro" w:cs="Times New Roman"/>
          <w:sz w:val="18"/>
          <w:szCs w:val="18"/>
        </w:rPr>
        <w:t xml:space="preserve"> New York: Cambridge University Press, pp. 7-8.</w:t>
      </w:r>
    </w:p>
  </w:footnote>
  <w:footnote w:id="8">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Checkel  J. T. (2005) ‘International Institutions and Socialization in Europe: Introduction and Framework’, </w:t>
      </w:r>
      <w:r w:rsidRPr="001909E5">
        <w:rPr>
          <w:rFonts w:ascii="Adobe Garamond Pro" w:hAnsi="Adobe Garamond Pro"/>
          <w:i/>
          <w:sz w:val="18"/>
          <w:szCs w:val="18"/>
        </w:rPr>
        <w:t>International Organizations</w:t>
      </w:r>
      <w:r w:rsidRPr="001909E5">
        <w:rPr>
          <w:rFonts w:ascii="Adobe Garamond Pro" w:hAnsi="Adobe Garamond Pro"/>
          <w:sz w:val="18"/>
          <w:szCs w:val="18"/>
        </w:rPr>
        <w:t>. The IO Foundation. Vol. 59, Fall 2005. pp. 804.</w:t>
      </w:r>
    </w:p>
  </w:footnote>
  <w:footnote w:id="9">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Bourdieu, </w:t>
      </w:r>
      <w:hyperlink r:id="rId2" w:history="1">
        <w:r w:rsidRPr="001909E5">
          <w:rPr>
            <w:rFonts w:ascii="Adobe Garamond Pro" w:hAnsi="Adobe Garamond Pro"/>
            <w:sz w:val="18"/>
            <w:szCs w:val="18"/>
          </w:rPr>
          <w:t xml:space="preserve">P. </w:t>
        </w:r>
      </w:hyperlink>
      <w:r w:rsidRPr="001909E5">
        <w:rPr>
          <w:rFonts w:ascii="Adobe Garamond Pro" w:hAnsi="Adobe Garamond Pro"/>
          <w:sz w:val="18"/>
          <w:szCs w:val="18"/>
        </w:rPr>
        <w:t xml:space="preserve"> (1990) </w:t>
      </w:r>
      <w:r w:rsidRPr="001909E5">
        <w:rPr>
          <w:rFonts w:ascii="Adobe Garamond Pro" w:hAnsi="Adobe Garamond Pro"/>
          <w:i/>
          <w:sz w:val="18"/>
          <w:szCs w:val="18"/>
        </w:rPr>
        <w:t>The Logic of Practice</w:t>
      </w:r>
      <w:r w:rsidRPr="001909E5">
        <w:rPr>
          <w:rFonts w:ascii="Adobe Garamond Pro" w:hAnsi="Adobe Garamond Pro"/>
          <w:sz w:val="18"/>
          <w:szCs w:val="18"/>
        </w:rPr>
        <w:t>, California: Stanford University Press.</w:t>
      </w:r>
    </w:p>
  </w:footnote>
  <w:footnote w:id="10">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Isto.</w:t>
      </w:r>
    </w:p>
  </w:footnote>
  <w:footnote w:id="11">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Pouliot, V. (2008) </w:t>
      </w:r>
      <w:r w:rsidRPr="001909E5">
        <w:rPr>
          <w:rFonts w:ascii="Adobe Garamond Pro" w:hAnsi="Adobe Garamond Pro"/>
          <w:i/>
          <w:sz w:val="18"/>
          <w:szCs w:val="18"/>
        </w:rPr>
        <w:t>The Logic of Practicality: A Theory of Practice of Security Communities.</w:t>
      </w:r>
      <w:r w:rsidRPr="001909E5">
        <w:rPr>
          <w:rFonts w:ascii="Adobe Garamond Pro" w:hAnsi="Adobe Garamond Pro"/>
          <w:sz w:val="18"/>
          <w:szCs w:val="18"/>
        </w:rPr>
        <w:t xml:space="preserve"> International Organizations, Vol. 62, pp. 257.</w:t>
      </w:r>
    </w:p>
  </w:footnote>
  <w:footnote w:id="12">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Adler and Barnett (1998), pp. 46.</w:t>
      </w:r>
    </w:p>
  </w:footnote>
  <w:footnote w:id="13">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Van Wagenen (1965) ‘The Concept of Community and the Future of the United Nations’, </w:t>
      </w:r>
      <w:r w:rsidRPr="001909E5">
        <w:rPr>
          <w:rFonts w:ascii="Adobe Garamond Pro" w:hAnsi="Adobe Garamond Pro"/>
          <w:i/>
          <w:sz w:val="18"/>
          <w:szCs w:val="18"/>
        </w:rPr>
        <w:t>International Organizations</w:t>
      </w:r>
      <w:r w:rsidRPr="001909E5">
        <w:rPr>
          <w:rFonts w:ascii="Adobe Garamond Pro" w:hAnsi="Adobe Garamond Pro"/>
          <w:sz w:val="18"/>
          <w:szCs w:val="18"/>
        </w:rPr>
        <w:t>, XIX, pp. 819.</w:t>
      </w:r>
    </w:p>
  </w:footnote>
  <w:footnote w:id="14">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Iako se dosta inicijativa odnosi i na prostor Jugoistočne Evrope za potrebe ovoga rada biće dovoljna činjenica da i takav širi okvir opet obuhvata prostor Zapadnog Balkana i da se, kao takav, može smatrati relevantnim za ovu analizu.</w:t>
      </w:r>
    </w:p>
  </w:footnote>
  <w:footnote w:id="15">
    <w:p w:rsidR="001909E5" w:rsidRPr="001909E5" w:rsidRDefault="001909E5" w:rsidP="001909E5">
      <w:pPr>
        <w:pStyle w:val="FootnoteText"/>
        <w:rPr>
          <w:rFonts w:ascii="Adobe Garamond Pro" w:hAnsi="Adobe Garamond Pro"/>
          <w:sz w:val="18"/>
          <w:szCs w:val="18"/>
          <w:lang w:val="en-US"/>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hyperlink r:id="rId3" w:history="1">
        <w:r w:rsidRPr="001909E5">
          <w:rPr>
            <w:rStyle w:val="Hyperlink"/>
            <w:rFonts w:ascii="Adobe Garamond Pro" w:eastAsia="Calibri" w:hAnsi="Adobe Garamond Pro"/>
            <w:color w:val="auto"/>
            <w:sz w:val="18"/>
            <w:szCs w:val="18"/>
            <w:u w:val="none"/>
          </w:rPr>
          <w:t>http://www.mfa.ba/vanjska_politika_bih/osnovni_pravci_vanjske_politike_bih/?id=2</w:t>
        </w:r>
      </w:hyperlink>
      <w:r w:rsidRPr="001909E5">
        <w:rPr>
          <w:rFonts w:ascii="Adobe Garamond Pro" w:hAnsi="Adobe Garamond Pro"/>
          <w:sz w:val="18"/>
          <w:szCs w:val="18"/>
        </w:rPr>
        <w:t xml:space="preserve"> </w:t>
      </w:r>
      <w:r w:rsidRPr="001909E5">
        <w:rPr>
          <w:rFonts w:ascii="Adobe Garamond Pro" w:hAnsi="Adobe Garamond Pro"/>
          <w:sz w:val="18"/>
          <w:szCs w:val="18"/>
          <w:lang w:val="en-US"/>
        </w:rPr>
        <w:t>[03.04.2014.]</w:t>
      </w:r>
    </w:p>
  </w:footnote>
  <w:footnote w:id="16">
    <w:p w:rsidR="001909E5" w:rsidRPr="001909E5" w:rsidRDefault="001909E5" w:rsidP="001909E5">
      <w:pPr>
        <w:pStyle w:val="FootnoteText"/>
        <w:rPr>
          <w:rFonts w:ascii="Adobe Garamond Pro" w:hAnsi="Adobe Garamond Pro"/>
          <w:sz w:val="18"/>
          <w:szCs w:val="18"/>
          <w:lang w:val="bs-Latn-BA"/>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Sigurnosna politika Bosne i Hercegovine, Predsjedništvo BiH, 2006, str. 4</w:t>
      </w:r>
    </w:p>
  </w:footnote>
  <w:footnote w:id="17">
    <w:p w:rsidR="001909E5" w:rsidRPr="001909E5" w:rsidRDefault="001909E5" w:rsidP="001909E5">
      <w:pPr>
        <w:spacing w:after="0" w:line="240" w:lineRule="auto"/>
        <w:jc w:val="both"/>
        <w:rPr>
          <w:rFonts w:ascii="Adobe Garamond Pro" w:hAnsi="Adobe Garamond Pro" w:cs="Times New Roman"/>
          <w:sz w:val="18"/>
          <w:szCs w:val="18"/>
        </w:rPr>
      </w:pPr>
      <w:r w:rsidRPr="001909E5">
        <w:rPr>
          <w:rStyle w:val="FootnoteReference"/>
          <w:rFonts w:ascii="Adobe Garamond Pro" w:hAnsi="Adobe Garamond Pro" w:cs="Times New Roman"/>
          <w:sz w:val="18"/>
          <w:szCs w:val="18"/>
        </w:rPr>
        <w:footnoteRef/>
      </w:r>
      <w:r w:rsidRPr="001909E5">
        <w:rPr>
          <w:rFonts w:ascii="Adobe Garamond Pro" w:hAnsi="Adobe Garamond Pro" w:cs="Times New Roman"/>
          <w:sz w:val="18"/>
          <w:szCs w:val="18"/>
        </w:rPr>
        <w:t xml:space="preserve"> Nolan, J. E. (ed.) (1994) </w:t>
      </w:r>
      <w:r w:rsidRPr="001909E5">
        <w:rPr>
          <w:rFonts w:ascii="Adobe Garamond Pro" w:hAnsi="Adobe Garamond Pro" w:cs="Times New Roman"/>
          <w:i/>
          <w:sz w:val="18"/>
          <w:szCs w:val="18"/>
        </w:rPr>
        <w:t>Global Engagement: Cooperation and Security in the 21</w:t>
      </w:r>
      <w:r w:rsidRPr="001909E5">
        <w:rPr>
          <w:rFonts w:ascii="Adobe Garamond Pro" w:hAnsi="Adobe Garamond Pro" w:cs="Times New Roman"/>
          <w:i/>
          <w:sz w:val="18"/>
          <w:szCs w:val="18"/>
          <w:vertAlign w:val="superscript"/>
        </w:rPr>
        <w:t>st</w:t>
      </w:r>
      <w:r w:rsidRPr="001909E5">
        <w:rPr>
          <w:rFonts w:ascii="Adobe Garamond Pro" w:hAnsi="Adobe Garamond Pro" w:cs="Times New Roman"/>
          <w:i/>
          <w:sz w:val="18"/>
          <w:szCs w:val="18"/>
        </w:rPr>
        <w:t xml:space="preserve"> Century.</w:t>
      </w:r>
      <w:r w:rsidRPr="001909E5">
        <w:rPr>
          <w:rFonts w:ascii="Adobe Garamond Pro" w:hAnsi="Adobe Garamond Pro" w:cs="Times New Roman"/>
          <w:sz w:val="18"/>
          <w:szCs w:val="18"/>
        </w:rPr>
        <w:t xml:space="preserve"> Washington DC: The Brooking institution, pp. 5</w:t>
      </w:r>
    </w:p>
  </w:footnote>
  <w:footnote w:id="18">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 xml:space="preserve">Adler, E. (2008) </w:t>
      </w:r>
      <w:r w:rsidRPr="001909E5">
        <w:rPr>
          <w:rFonts w:ascii="Adobe Garamond Pro" w:hAnsi="Adobe Garamond Pro"/>
          <w:i/>
          <w:sz w:val="18"/>
          <w:szCs w:val="18"/>
          <w:lang w:val="bs-Latn-BA"/>
        </w:rPr>
        <w:t>The Spread of security Communities: Communities of Practice, Self Resraint, and NATO's Post Cold War Transformation</w:t>
      </w:r>
      <w:r w:rsidRPr="001909E5">
        <w:rPr>
          <w:rFonts w:ascii="Adobe Garamond Pro" w:hAnsi="Adobe Garamond Pro"/>
          <w:sz w:val="18"/>
          <w:szCs w:val="18"/>
          <w:lang w:val="bs-Latn-BA"/>
        </w:rPr>
        <w:t xml:space="preserve">, European Journal of International relations, Vol. 14, No. 2, pp. </w:t>
      </w:r>
      <w:r w:rsidRPr="001909E5">
        <w:rPr>
          <w:rFonts w:ascii="Adobe Garamond Pro" w:hAnsi="Adobe Garamond Pro"/>
          <w:sz w:val="18"/>
          <w:szCs w:val="18"/>
        </w:rPr>
        <w:t>207.</w:t>
      </w:r>
    </w:p>
  </w:footnote>
  <w:footnote w:id="19">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North Atlantic Cooperation Council</w:t>
      </w:r>
    </w:p>
  </w:footnote>
  <w:footnote w:id="20">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Adler (2008), pp. 209 quoting Nick Williams quoted in Yost (1998:98). </w:t>
      </w:r>
    </w:p>
  </w:footnote>
  <w:footnote w:id="21">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Partnership for Peace</w:t>
      </w:r>
    </w:p>
  </w:footnote>
  <w:footnote w:id="22">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François, I. (2000) ‘Partnership: One of NATO’s Fundamental Security Tasks’. </w:t>
      </w:r>
      <w:r w:rsidRPr="001909E5">
        <w:rPr>
          <w:rFonts w:ascii="Adobe Garamond Pro" w:hAnsi="Adobe Garamond Pro"/>
          <w:i/>
          <w:sz w:val="18"/>
          <w:szCs w:val="18"/>
        </w:rPr>
        <w:t>NATO Review,</w:t>
      </w:r>
      <w:r w:rsidRPr="001909E5">
        <w:rPr>
          <w:rFonts w:ascii="Adobe Garamond Pro" w:hAnsi="Adobe Garamond Pro"/>
          <w:sz w:val="18"/>
          <w:szCs w:val="18"/>
        </w:rPr>
        <w:t xml:space="preserve"> Vol. 48, No. 2, pp. 27.</w:t>
      </w:r>
    </w:p>
  </w:footnote>
  <w:footnote w:id="23">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Euro-Atlantic Partnership Council</w:t>
      </w:r>
    </w:p>
  </w:footnote>
  <w:footnote w:id="24">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Adler (2008), pp. 210.</w:t>
      </w:r>
    </w:p>
  </w:footnote>
  <w:footnote w:id="25">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Neki od instrumenata su: Planning and review Process - Proces planiranja i revizije (PARP), Individual Partnership Cooperation Program - Individualni partnerski program suradnje  (IPCP), Individual partnership Action Plan - Individualni partnerski akcijski plan (IPAP), Intensified Dialogue -  Intenzivirani dijalog (ID), membership Action Plan - Akcijski plan za članstvo (MAP) kao i Operational Capabilities Concept - Koncept operativnih sposobnosti (OCC), Training and Education Enhancement Process – Unaprijeđeni proces obuke i edukacije (TEEP), Partnership Staff Element - Partnerski štapski element (PSE), itd.</w:t>
      </w:r>
    </w:p>
  </w:footnote>
  <w:footnote w:id="26">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Southeast Europe Security Cooperation Steering Group</w:t>
      </w:r>
    </w:p>
  </w:footnote>
  <w:footnote w:id="27">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Common Assessment Paper on Regional security Challenges and Opportunities</w:t>
      </w:r>
    </w:p>
  </w:footnote>
  <w:footnote w:id="28">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Lopandić, D i Kronja, J. (2010) </w:t>
      </w:r>
      <w:r w:rsidRPr="001909E5">
        <w:rPr>
          <w:rFonts w:ascii="Adobe Garamond Pro" w:hAnsi="Adobe Garamond Pro"/>
          <w:i/>
          <w:sz w:val="18"/>
          <w:szCs w:val="18"/>
        </w:rPr>
        <w:t>Regionalne incijative i multilateralna saradnja na Balkanu,</w:t>
      </w:r>
      <w:r w:rsidRPr="001909E5">
        <w:rPr>
          <w:rFonts w:ascii="Adobe Garamond Pro" w:hAnsi="Adobe Garamond Pro"/>
          <w:sz w:val="18"/>
          <w:szCs w:val="18"/>
        </w:rPr>
        <w:t xml:space="preserve"> drugo dopunjeno izdanje, Beograd: Evropski pokret u Srbiji, str. 217.</w:t>
      </w:r>
    </w:p>
  </w:footnote>
  <w:footnote w:id="29">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Isto. str. 226.</w:t>
      </w:r>
    </w:p>
  </w:footnote>
  <w:footnote w:id="30">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Stabilization and Association Process</w:t>
      </w:r>
    </w:p>
  </w:footnote>
  <w:footnote w:id="31">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Stability Pact for South-East Europe</w:t>
      </w:r>
    </w:p>
  </w:footnote>
  <w:footnote w:id="32">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Organization for Security and Cooperation in Europe</w:t>
      </w:r>
    </w:p>
  </w:footnote>
  <w:footnote w:id="33">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Migration, Asylum, Refugees Regional Initiative</w:t>
      </w:r>
    </w:p>
  </w:footnote>
  <w:footnote w:id="34">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Police Forum. Osnovan 2000. godine i realizira tri projekta: Regionalna policijska obuka, Mreža za obuku u borni protiv organiziranog kriminala te projekat “Ukradena vozila”.</w:t>
      </w:r>
    </w:p>
  </w:footnote>
  <w:footnote w:id="35">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Southeast Europe Police Chiefs Association. U okviru ove incijative formirana je Mreža žena policajki (Women Police officer network - WPON)</w:t>
      </w:r>
    </w:p>
  </w:footnote>
  <w:footnote w:id="36">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Disaster Preparedness and Prevention Initiative</w:t>
      </w:r>
    </w:p>
  </w:footnote>
  <w:footnote w:id="37">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Stability Pact Anti-Corruption Initiative/Regional Anti-Corruption Initiative</w:t>
      </w:r>
    </w:p>
  </w:footnote>
  <w:footnote w:id="38">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 Eastern and Eastern Europe Clearinghouse for the Control of Small Arms and Light Weapons</w:t>
      </w:r>
    </w:p>
  </w:footnote>
  <w:footnote w:id="39">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Regional Arms Control Verification and Implementation Centre</w:t>
      </w:r>
    </w:p>
  </w:footnote>
  <w:footnote w:id="40">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Regional Cooperation Council</w:t>
      </w:r>
    </w:p>
  </w:footnote>
  <w:footnote w:id="41">
    <w:p w:rsidR="001909E5" w:rsidRPr="001909E5" w:rsidRDefault="001909E5" w:rsidP="001909E5">
      <w:pPr>
        <w:pStyle w:val="FootnoteText"/>
        <w:jc w:val="both"/>
        <w:rPr>
          <w:rFonts w:ascii="Adobe Garamond Pro" w:hAnsi="Adobe Garamond Pro"/>
          <w:sz w:val="18"/>
          <w:szCs w:val="18"/>
          <w:lang w:val="bs-Latn-BA"/>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South East Europe Military Intelligence Chiefs Forum</w:t>
      </w:r>
    </w:p>
  </w:footnote>
  <w:footnote w:id="42">
    <w:p w:rsidR="001909E5" w:rsidRPr="001909E5" w:rsidRDefault="001909E5" w:rsidP="001909E5">
      <w:pPr>
        <w:pStyle w:val="FootnoteText"/>
        <w:jc w:val="both"/>
        <w:rPr>
          <w:rFonts w:ascii="Adobe Garamond Pro" w:hAnsi="Adobe Garamond Pro"/>
          <w:sz w:val="18"/>
          <w:szCs w:val="18"/>
          <w:lang w:val="bs-Latn-BA"/>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South East Europe National Security Authorities Forum</w:t>
      </w:r>
    </w:p>
  </w:footnote>
  <w:footnote w:id="43">
    <w:p w:rsidR="001909E5" w:rsidRPr="001909E5" w:rsidRDefault="001909E5" w:rsidP="001909E5">
      <w:pPr>
        <w:pStyle w:val="FootnoteText"/>
        <w:jc w:val="both"/>
        <w:rPr>
          <w:rFonts w:ascii="Adobe Garamond Pro" w:hAnsi="Adobe Garamond Pro"/>
          <w:sz w:val="18"/>
          <w:szCs w:val="18"/>
          <w:lang w:val="bs-Latn-BA"/>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South East Europe Heads of Parliamentarian Specialized Committees Forum</w:t>
      </w:r>
    </w:p>
  </w:footnote>
  <w:footnote w:id="44">
    <w:p w:rsidR="001909E5" w:rsidRPr="001909E5" w:rsidRDefault="001909E5" w:rsidP="001909E5">
      <w:pPr>
        <w:pStyle w:val="FootnoteText"/>
        <w:jc w:val="both"/>
        <w:rPr>
          <w:rFonts w:ascii="Adobe Garamond Pro" w:hAnsi="Adobe Garamond Pro"/>
          <w:sz w:val="18"/>
          <w:szCs w:val="18"/>
          <w:lang w:val="bs-Latn-BA"/>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South East Europe Defence Policy Directors Forum</w:t>
      </w:r>
    </w:p>
  </w:footnote>
  <w:footnote w:id="45">
    <w:p w:rsidR="001909E5" w:rsidRPr="001909E5" w:rsidRDefault="001909E5" w:rsidP="001909E5">
      <w:pPr>
        <w:pStyle w:val="FootnoteText"/>
        <w:jc w:val="both"/>
        <w:rPr>
          <w:rFonts w:ascii="Adobe Garamond Pro" w:hAnsi="Adobe Garamond Pro"/>
          <w:sz w:val="18"/>
          <w:szCs w:val="18"/>
          <w:lang w:val="bs-Latn-BA"/>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t>
      </w:r>
      <w:r w:rsidRPr="001909E5">
        <w:rPr>
          <w:rFonts w:ascii="Adobe Garamond Pro" w:hAnsi="Adobe Garamond Pro"/>
          <w:sz w:val="18"/>
          <w:szCs w:val="18"/>
          <w:lang w:val="bs-Latn-BA"/>
        </w:rPr>
        <w:t>South East Europe Defence Procurement  Directors Forum</w:t>
      </w:r>
    </w:p>
  </w:footnote>
  <w:footnote w:id="46">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Southeast European Police Cooperation Convention</w:t>
      </w:r>
    </w:p>
  </w:footnote>
  <w:footnote w:id="47">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 East Defence Ministerial</w:t>
      </w:r>
    </w:p>
  </w:footnote>
  <w:footnote w:id="48">
    <w:p w:rsidR="001909E5" w:rsidRPr="001909E5" w:rsidRDefault="001909E5" w:rsidP="001909E5">
      <w:pPr>
        <w:pStyle w:val="FootnoteText"/>
        <w:jc w:val="both"/>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Multinational Peace Force  Southeastern Europe</w:t>
      </w:r>
    </w:p>
  </w:footnote>
  <w:footnote w:id="49">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Southeastern Europe Peacekeeping Brigade</w:t>
      </w:r>
    </w:p>
  </w:footnote>
  <w:footnote w:id="50">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South-Eastern Simulation Network</w:t>
      </w:r>
    </w:p>
  </w:footnote>
  <w:footnote w:id="51">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 East Europe Military Education Cooperation</w:t>
      </w:r>
    </w:p>
  </w:footnote>
  <w:footnote w:id="52">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 East Europe Clearing-house</w:t>
      </w:r>
    </w:p>
  </w:footnote>
  <w:footnote w:id="53">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Southeast Europe Cooperation Initiative</w:t>
      </w:r>
    </w:p>
  </w:footnote>
  <w:footnote w:id="54">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Convention on Southeastern European Law Enforcement Centre</w:t>
      </w:r>
    </w:p>
  </w:footnote>
  <w:footnote w:id="55">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Lopandić, D. i Kronja, J. (2010), str. 35-55</w:t>
      </w:r>
    </w:p>
  </w:footnote>
  <w:footnote w:id="56">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 East European Cooperation Process</w:t>
      </w:r>
    </w:p>
  </w:footnote>
  <w:footnote w:id="57">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South East European Prosecutors Advisory Group</w:t>
      </w:r>
    </w:p>
  </w:footnote>
  <w:footnote w:id="58">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Western Balkans Prosecutors Network</w:t>
      </w:r>
    </w:p>
  </w:footnote>
  <w:footnote w:id="59">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Regional Secretariat for Parliamentary Cooperation in SEE</w:t>
      </w:r>
    </w:p>
  </w:footnote>
  <w:footnote w:id="60">
    <w:p w:rsidR="001909E5" w:rsidRPr="001909E5" w:rsidRDefault="001909E5" w:rsidP="001909E5">
      <w:pPr>
        <w:pStyle w:val="FootnoteText"/>
        <w:rPr>
          <w:rFonts w:ascii="Adobe Garamond Pro" w:hAnsi="Adobe Garamond Pro"/>
          <w:sz w:val="18"/>
          <w:szCs w:val="18"/>
        </w:rPr>
      </w:pPr>
      <w:r w:rsidRPr="001909E5">
        <w:rPr>
          <w:rStyle w:val="FootnoteReference"/>
          <w:rFonts w:ascii="Adobe Garamond Pro" w:hAnsi="Adobe Garamond Pro"/>
          <w:sz w:val="18"/>
          <w:szCs w:val="18"/>
        </w:rPr>
        <w:footnoteRef/>
      </w:r>
      <w:r w:rsidRPr="001909E5">
        <w:rPr>
          <w:rFonts w:ascii="Adobe Garamond Pro" w:hAnsi="Adobe Garamond Pro"/>
          <w:sz w:val="18"/>
          <w:szCs w:val="18"/>
        </w:rPr>
        <w:t xml:space="preserve"> Conference of the European Integration Parliamentary Committees of States participating in the Stabilization and Association 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A55D4"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Kenan Dautović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D4" w:rsidRPr="004A55D4" w:rsidRDefault="004A55D4" w:rsidP="004A55D4">
    <w:pPr>
      <w:pBdr>
        <w:bottom w:val="single" w:sz="4" w:space="1" w:color="auto"/>
      </w:pBdr>
      <w:spacing w:after="0" w:line="240" w:lineRule="auto"/>
      <w:jc w:val="right"/>
      <w:rPr>
        <w:rFonts w:ascii="Adobe Garamond Pro" w:hAnsi="Adobe Garamond Pro" w:cs="Times New Roman"/>
        <w:sz w:val="20"/>
        <w:szCs w:val="20"/>
        <w:lang w:val="bs-Latn-BA"/>
      </w:rPr>
    </w:pPr>
    <w:r w:rsidRPr="004A55D4">
      <w:rPr>
        <w:rFonts w:ascii="Adobe Garamond Pro" w:hAnsi="Adobe Garamond Pro" w:cs="Times New Roman"/>
        <w:sz w:val="20"/>
        <w:szCs w:val="20"/>
        <w:lang w:val="bs-Latn-BA"/>
      </w:rPr>
      <w:t xml:space="preserve">Doprinos Bosne i Hercegovine formiranju sigurnosne zajednice </w:t>
    </w:r>
    <w:r w:rsidR="00D067D0">
      <w:rPr>
        <w:rFonts w:ascii="Adobe Garamond Pro" w:hAnsi="Adobe Garamond Pro" w:cs="Times New Roman"/>
        <w:sz w:val="20"/>
        <w:szCs w:val="20"/>
        <w:lang w:val="bs-Latn-BA"/>
      </w:rPr>
      <w:t>Z</w:t>
    </w:r>
    <w:r w:rsidRPr="004A55D4">
      <w:rPr>
        <w:rFonts w:ascii="Adobe Garamond Pro" w:hAnsi="Adobe Garamond Pro" w:cs="Times New Roman"/>
        <w:sz w:val="20"/>
        <w:szCs w:val="20"/>
        <w:lang w:val="bs-Latn-BA"/>
      </w:rPr>
      <w:t xml:space="preserve">apadnog </w:t>
    </w:r>
    <w:r w:rsidR="00D067D0">
      <w:rPr>
        <w:rFonts w:ascii="Adobe Garamond Pro" w:hAnsi="Adobe Garamond Pro" w:cs="Times New Roman"/>
        <w:sz w:val="20"/>
        <w:szCs w:val="20"/>
        <w:lang w:val="bs-Latn-BA"/>
      </w:rPr>
      <w:t>B</w:t>
    </w:r>
    <w:r w:rsidRPr="004A55D4">
      <w:rPr>
        <w:rFonts w:ascii="Adobe Garamond Pro" w:hAnsi="Adobe Garamond Pro" w:cs="Times New Roman"/>
        <w:sz w:val="20"/>
        <w:szCs w:val="20"/>
        <w:lang w:val="bs-Latn-BA"/>
      </w:rPr>
      <w:t>alkana</w:t>
    </w:r>
  </w:p>
  <w:p w:rsidR="00FF280B" w:rsidRPr="004A55D4" w:rsidRDefault="00FF280B" w:rsidP="004A55D4">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A824C9"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A55D4">
      <w:rPr>
        <w:rFonts w:ascii="Adobe Garamond Pro" w:hAnsi="Adobe Garamond Pro" w:cs="Times New Roman"/>
        <w:b/>
        <w:noProof/>
        <w:sz w:val="20"/>
        <w:szCs w:val="20"/>
        <w:lang w:val="bs-Latn-BA" w:eastAsia="bs-Latn-BA"/>
      </w:rPr>
      <w:t>STRUČNI ČLANAK</w:t>
    </w:r>
  </w:p>
  <w:p w:rsidR="00FF280B" w:rsidRPr="004A55D4" w:rsidRDefault="004A55D4" w:rsidP="00D85967">
    <w:pPr>
      <w:pStyle w:val="Header"/>
      <w:jc w:val="right"/>
      <w:rPr>
        <w:rFonts w:ascii="Adobe Garamond Pro" w:hAnsi="Adobe Garamond Pro"/>
        <w:b/>
        <w:sz w:val="20"/>
        <w:szCs w:val="20"/>
      </w:rPr>
    </w:pPr>
    <w:r w:rsidRPr="004A55D4">
      <w:rPr>
        <w:rFonts w:ascii="Adobe Garamond Pro" w:hAnsi="Adobe Garamond Pro" w:cs="Times New Roman"/>
        <w:sz w:val="20"/>
        <w:szCs w:val="20"/>
        <w:lang w:val="bs-Latn-BA"/>
      </w:rPr>
      <w:t>UDK 497.6:351.78(497)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28E3FD4"/>
    <w:multiLevelType w:val="hybridMultilevel"/>
    <w:tmpl w:val="EEDC36A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4">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5">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3"/>
  </w:num>
  <w:num w:numId="2">
    <w:abstractNumId w:val="2"/>
  </w:num>
  <w:num w:numId="3">
    <w:abstractNumId w:val="29"/>
  </w:num>
  <w:num w:numId="4">
    <w:abstractNumId w:val="10"/>
  </w:num>
  <w:num w:numId="5">
    <w:abstractNumId w:val="31"/>
  </w:num>
  <w:num w:numId="6">
    <w:abstractNumId w:val="3"/>
  </w:num>
  <w:num w:numId="7">
    <w:abstractNumId w:val="8"/>
  </w:num>
  <w:num w:numId="8">
    <w:abstractNumId w:val="14"/>
  </w:num>
  <w:num w:numId="9">
    <w:abstractNumId w:val="17"/>
  </w:num>
  <w:num w:numId="10">
    <w:abstractNumId w:val="11"/>
  </w:num>
  <w:num w:numId="11">
    <w:abstractNumId w:val="5"/>
  </w:num>
  <w:num w:numId="12">
    <w:abstractNumId w:val="13"/>
  </w:num>
  <w:num w:numId="13">
    <w:abstractNumId w:val="32"/>
  </w:num>
  <w:num w:numId="14">
    <w:abstractNumId w:val="4"/>
  </w:num>
  <w:num w:numId="15">
    <w:abstractNumId w:val="1"/>
  </w:num>
  <w:num w:numId="16">
    <w:abstractNumId w:val="6"/>
  </w:num>
  <w:num w:numId="17">
    <w:abstractNumId w:val="9"/>
  </w:num>
  <w:num w:numId="18">
    <w:abstractNumId w:val="20"/>
  </w:num>
  <w:num w:numId="19">
    <w:abstractNumId w:val="16"/>
  </w:num>
  <w:num w:numId="20">
    <w:abstractNumId w:val="15"/>
  </w:num>
  <w:num w:numId="21">
    <w:abstractNumId w:val="28"/>
  </w:num>
  <w:num w:numId="22">
    <w:abstractNumId w:val="0"/>
  </w:num>
  <w:num w:numId="23">
    <w:abstractNumId w:val="36"/>
  </w:num>
  <w:num w:numId="24">
    <w:abstractNumId w:val="19"/>
  </w:num>
  <w:num w:numId="25">
    <w:abstractNumId w:val="18"/>
  </w:num>
  <w:num w:numId="26">
    <w:abstractNumId w:val="30"/>
  </w:num>
  <w:num w:numId="27">
    <w:abstractNumId w:val="33"/>
  </w:num>
  <w:num w:numId="28">
    <w:abstractNumId w:val="26"/>
  </w:num>
  <w:num w:numId="29">
    <w:abstractNumId w:val="37"/>
  </w:num>
  <w:num w:numId="30">
    <w:abstractNumId w:val="21"/>
  </w:num>
  <w:num w:numId="31">
    <w:abstractNumId w:val="22"/>
  </w:num>
  <w:num w:numId="32">
    <w:abstractNumId w:val="24"/>
  </w:num>
  <w:num w:numId="33">
    <w:abstractNumId w:val="12"/>
  </w:num>
  <w:num w:numId="34">
    <w:abstractNumId w:val="34"/>
  </w:num>
  <w:num w:numId="35">
    <w:abstractNumId w:val="35"/>
  </w:num>
  <w:num w:numId="36">
    <w:abstractNumId w:val="7"/>
  </w:num>
  <w:num w:numId="37">
    <w:abstractNumId w:val="25"/>
  </w:num>
  <w:num w:numId="38">
    <w:abstractNumId w:val="3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769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53093"/>
    <w:rsid w:val="001654CE"/>
    <w:rsid w:val="0016554A"/>
    <w:rsid w:val="00170728"/>
    <w:rsid w:val="001909E5"/>
    <w:rsid w:val="001959A4"/>
    <w:rsid w:val="001A4B4E"/>
    <w:rsid w:val="001B0A65"/>
    <w:rsid w:val="001C6DC9"/>
    <w:rsid w:val="001D4039"/>
    <w:rsid w:val="001F0AD6"/>
    <w:rsid w:val="002002DE"/>
    <w:rsid w:val="00205247"/>
    <w:rsid w:val="00217253"/>
    <w:rsid w:val="0023078B"/>
    <w:rsid w:val="00230AB1"/>
    <w:rsid w:val="0024323B"/>
    <w:rsid w:val="00260E15"/>
    <w:rsid w:val="00264C3A"/>
    <w:rsid w:val="002675B4"/>
    <w:rsid w:val="002715B8"/>
    <w:rsid w:val="002A04A4"/>
    <w:rsid w:val="002A4A58"/>
    <w:rsid w:val="002D2430"/>
    <w:rsid w:val="002D542C"/>
    <w:rsid w:val="002D5F3F"/>
    <w:rsid w:val="002D6E37"/>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55D4"/>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2C4"/>
    <w:rsid w:val="00713712"/>
    <w:rsid w:val="00713C82"/>
    <w:rsid w:val="00714555"/>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63AF"/>
    <w:rsid w:val="00932021"/>
    <w:rsid w:val="009469F4"/>
    <w:rsid w:val="00946D5B"/>
    <w:rsid w:val="009548B8"/>
    <w:rsid w:val="00970A7F"/>
    <w:rsid w:val="00977EC3"/>
    <w:rsid w:val="00977F0F"/>
    <w:rsid w:val="00984DB8"/>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24C9"/>
    <w:rsid w:val="00A83BDB"/>
    <w:rsid w:val="00AA3155"/>
    <w:rsid w:val="00AC1B3A"/>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A6B50"/>
    <w:rsid w:val="00BB0CA7"/>
    <w:rsid w:val="00BB257C"/>
    <w:rsid w:val="00BB50C0"/>
    <w:rsid w:val="00BC0A83"/>
    <w:rsid w:val="00BC543C"/>
    <w:rsid w:val="00BD0D1C"/>
    <w:rsid w:val="00BD4C8D"/>
    <w:rsid w:val="00BE7F6D"/>
    <w:rsid w:val="00BF0675"/>
    <w:rsid w:val="00BF2DBF"/>
    <w:rsid w:val="00BF5820"/>
    <w:rsid w:val="00BF5AC4"/>
    <w:rsid w:val="00C12C03"/>
    <w:rsid w:val="00C3459A"/>
    <w:rsid w:val="00C35FC7"/>
    <w:rsid w:val="00C36995"/>
    <w:rsid w:val="00C608B0"/>
    <w:rsid w:val="00C60D7F"/>
    <w:rsid w:val="00C61AF1"/>
    <w:rsid w:val="00C91AFD"/>
    <w:rsid w:val="00CB5B2F"/>
    <w:rsid w:val="00CB78A8"/>
    <w:rsid w:val="00CD34F5"/>
    <w:rsid w:val="00CD4D07"/>
    <w:rsid w:val="00CF2C89"/>
    <w:rsid w:val="00D02705"/>
    <w:rsid w:val="00D067D0"/>
    <w:rsid w:val="00D106B5"/>
    <w:rsid w:val="00D12AEB"/>
    <w:rsid w:val="00D13677"/>
    <w:rsid w:val="00D17A92"/>
    <w:rsid w:val="00D26A97"/>
    <w:rsid w:val="00D40931"/>
    <w:rsid w:val="00D53755"/>
    <w:rsid w:val="00D54356"/>
    <w:rsid w:val="00D56704"/>
    <w:rsid w:val="00D65E6D"/>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ie=UTF8&amp;field-author=Vincent+Pouliot&amp;search-alias=books&amp;text=Vincent+Pouliot&amp;sort=relevancer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ba/search?tbo=p&amp;tbm=bks&amp;q=inauthor:%22Richard+W.+Van+Wagenen%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ba/search?tbo=p&amp;tbm=bks&amp;q=inauthor:%22Richard+W.+Van+Wagenen%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ba/search?tbo=p&amp;tbm=bks&amp;q=inauthor:%22Pierre+Bourdieu%2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fa.ba/vanjska_politika_bih/osnovni_pravci_vanjske_politike_bih/?id=2" TargetMode="External"/><Relationship Id="rId2" Type="http://schemas.openxmlformats.org/officeDocument/2006/relationships/hyperlink" Target="http://www.google.ba/search?tbo=p&amp;tbm=bks&amp;q=inauthor:%22Pierre+Bourdieu%22" TargetMode="External"/><Relationship Id="rId1" Type="http://schemas.openxmlformats.org/officeDocument/2006/relationships/hyperlink" Target="http://www.amazon.com/s/ref=ntt_athr_dp_sr_2?ie=UTF8&amp;field-author=Vincent+Pouliot&amp;search-alias=books&amp;text=Vincent+Pouliot&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40</cp:revision>
  <dcterms:created xsi:type="dcterms:W3CDTF">2014-04-10T20:22:00Z</dcterms:created>
  <dcterms:modified xsi:type="dcterms:W3CDTF">2014-05-02T07:19:00Z</dcterms:modified>
</cp:coreProperties>
</file>