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B9" w:rsidRPr="009B18A1" w:rsidRDefault="00CC3DB9" w:rsidP="00CC3DB9">
      <w:pPr>
        <w:pStyle w:val="Heading1"/>
        <w:spacing w:before="0"/>
        <w:jc w:val="center"/>
        <w:rPr>
          <w:rFonts w:ascii="Times New Roman" w:hAnsi="Times New Roman" w:cs="Times New Roman"/>
          <w:color w:val="000000" w:themeColor="text1"/>
          <w:sz w:val="24"/>
          <w:szCs w:val="24"/>
        </w:rPr>
      </w:pPr>
      <w:bookmarkStart w:id="0" w:name="_Toc353455597"/>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pt;margin-top:15.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Vernacular Antakya Turkish: </w:t>
      </w:r>
      <w:proofErr w:type="spellStart"/>
      <w:r w:rsidRPr="009B18A1">
        <w:rPr>
          <w:rFonts w:ascii="Times New Roman" w:hAnsi="Times New Roman" w:cs="Times New Roman"/>
          <w:color w:val="000000" w:themeColor="text1"/>
          <w:sz w:val="24"/>
          <w:szCs w:val="24"/>
        </w:rPr>
        <w:t>Antekece</w:t>
      </w:r>
      <w:bookmarkEnd w:id="0"/>
      <w:proofErr w:type="spellEnd"/>
    </w:p>
    <w:p w:rsidR="00CC3DB9" w:rsidRPr="009B18A1" w:rsidRDefault="00CC3DB9" w:rsidP="00CC3DB9">
      <w:pPr>
        <w:spacing w:after="0" w:line="240" w:lineRule="auto"/>
        <w:jc w:val="center"/>
        <w:rPr>
          <w:rFonts w:ascii="Times New Roman" w:hAnsi="Times New Roman" w:cs="Times New Roman"/>
          <w:b/>
          <w:sz w:val="20"/>
          <w:szCs w:val="20"/>
        </w:rPr>
      </w:pPr>
    </w:p>
    <w:p w:rsidR="00CC3DB9" w:rsidRPr="009B18A1" w:rsidRDefault="00CC3DB9" w:rsidP="00CC3DB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Mehmet</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Akdogan</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Ugur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Turkyilmaz</w:t>
      </w:r>
      <w:proofErr w:type="spellEnd"/>
    </w:p>
    <w:p w:rsidR="00CC3DB9" w:rsidRPr="009B18A1" w:rsidRDefault="00CC3DB9" w:rsidP="00CC3DB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Sarajevo, Bosnia and Herzegovina</w:t>
      </w:r>
    </w:p>
    <w:p w:rsidR="00CC3DB9" w:rsidRPr="009B18A1" w:rsidRDefault="00CC3DB9" w:rsidP="00CC3DB9">
      <w:pPr>
        <w:spacing w:after="0" w:line="240" w:lineRule="auto"/>
        <w:rPr>
          <w:rFonts w:ascii="Times New Roman" w:hAnsi="Times New Roman" w:cs="Times New Roman"/>
          <w:b/>
          <w:sz w:val="20"/>
          <w:szCs w:val="20"/>
        </w:rPr>
      </w:pPr>
    </w:p>
    <w:p w:rsidR="00CC3DB9" w:rsidRPr="009B18A1" w:rsidRDefault="00CC3DB9" w:rsidP="00CC3DB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vernacular, standard language, Antakya dialect, dialect, </w:t>
      </w:r>
      <w:proofErr w:type="spellStart"/>
      <w:r w:rsidRPr="009B18A1">
        <w:rPr>
          <w:rFonts w:ascii="Times New Roman" w:hAnsi="Times New Roman" w:cs="Times New Roman"/>
          <w:sz w:val="20"/>
          <w:szCs w:val="20"/>
        </w:rPr>
        <w:t>diglossic</w:t>
      </w:r>
      <w:proofErr w:type="spellEnd"/>
      <w:r w:rsidRPr="009B18A1">
        <w:rPr>
          <w:rFonts w:ascii="Times New Roman" w:hAnsi="Times New Roman" w:cs="Times New Roman"/>
          <w:sz w:val="20"/>
          <w:szCs w:val="20"/>
        </w:rPr>
        <w:t xml:space="preserve"> community</w:t>
      </w:r>
    </w:p>
    <w:p w:rsidR="00CC3DB9" w:rsidRPr="009B18A1" w:rsidRDefault="00CC3DB9" w:rsidP="00CC3DB9">
      <w:pPr>
        <w:spacing w:after="0" w:line="240" w:lineRule="auto"/>
        <w:jc w:val="center"/>
        <w:rPr>
          <w:rFonts w:ascii="Times New Roman" w:hAnsi="Times New Roman" w:cs="Times New Roman"/>
          <w:sz w:val="20"/>
          <w:szCs w:val="20"/>
        </w:rPr>
      </w:pPr>
    </w:p>
    <w:p w:rsidR="00CC3DB9" w:rsidRPr="009B18A1" w:rsidRDefault="00CC3DB9" w:rsidP="00CC3DB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87963" w:rsidRDefault="00CC3DB9" w:rsidP="00CC3DB9">
      <w:r w:rsidRPr="009B18A1">
        <w:rPr>
          <w:rFonts w:ascii="Times New Roman" w:hAnsi="Times New Roman" w:cs="Times New Roman"/>
          <w:sz w:val="20"/>
          <w:szCs w:val="20"/>
        </w:rPr>
        <w:t xml:space="preserve">The </w:t>
      </w:r>
      <w:proofErr w:type="gramStart"/>
      <w:r w:rsidRPr="009B18A1">
        <w:rPr>
          <w:rFonts w:ascii="Times New Roman" w:hAnsi="Times New Roman" w:cs="Times New Roman"/>
          <w:sz w:val="20"/>
          <w:szCs w:val="20"/>
        </w:rPr>
        <w:t>objectives of this personal observation based paper is</w:t>
      </w:r>
      <w:proofErr w:type="gramEnd"/>
      <w:r w:rsidRPr="009B18A1">
        <w:rPr>
          <w:rFonts w:ascii="Times New Roman" w:hAnsi="Times New Roman" w:cs="Times New Roman"/>
          <w:sz w:val="20"/>
          <w:szCs w:val="20"/>
        </w:rPr>
        <w:t xml:space="preserve"> to attract some attention on vernaculars used in Antakya, in Turkey, and therefore special attention is paid to the dialect called ‘</w:t>
      </w:r>
      <w:proofErr w:type="spellStart"/>
      <w:r w:rsidRPr="009B18A1">
        <w:rPr>
          <w:rFonts w:ascii="Times New Roman" w:hAnsi="Times New Roman" w:cs="Times New Roman"/>
          <w:sz w:val="20"/>
          <w:szCs w:val="20"/>
        </w:rPr>
        <w:t>Antekece</w:t>
      </w:r>
      <w:proofErr w:type="spellEnd"/>
      <w:r w:rsidRPr="009B18A1">
        <w:rPr>
          <w:rFonts w:ascii="Times New Roman" w:hAnsi="Times New Roman" w:cs="Times New Roman"/>
          <w:sz w:val="20"/>
          <w:szCs w:val="20"/>
        </w:rPr>
        <w:t xml:space="preserve">’. There are many vernacular languages because of the ethnicity of the city where Muslim Turks, Kurds and Arabs and Christian Armenians, and Jews and </w:t>
      </w:r>
      <w:proofErr w:type="spellStart"/>
      <w:r w:rsidRPr="009B18A1">
        <w:rPr>
          <w:rFonts w:ascii="Times New Roman" w:hAnsi="Times New Roman" w:cs="Times New Roman"/>
          <w:sz w:val="20"/>
          <w:szCs w:val="20"/>
        </w:rPr>
        <w:t>Nusayris</w:t>
      </w:r>
      <w:proofErr w:type="spellEnd"/>
      <w:r w:rsidRPr="009B18A1">
        <w:rPr>
          <w:rFonts w:ascii="Times New Roman" w:hAnsi="Times New Roman" w:cs="Times New Roman"/>
          <w:sz w:val="20"/>
          <w:szCs w:val="20"/>
        </w:rPr>
        <w:t xml:space="preserve"> among some others </w:t>
      </w:r>
      <w:proofErr w:type="gramStart"/>
      <w:r w:rsidRPr="009B18A1">
        <w:rPr>
          <w:rFonts w:ascii="Times New Roman" w:hAnsi="Times New Roman" w:cs="Times New Roman"/>
          <w:sz w:val="20"/>
          <w:szCs w:val="20"/>
        </w:rPr>
        <w:t>who  live</w:t>
      </w:r>
      <w:proofErr w:type="gramEnd"/>
      <w:r w:rsidRPr="009B18A1">
        <w:rPr>
          <w:rFonts w:ascii="Times New Roman" w:hAnsi="Times New Roman" w:cs="Times New Roman"/>
          <w:sz w:val="20"/>
          <w:szCs w:val="20"/>
        </w:rPr>
        <w:t xml:space="preserve"> together peacefully. </w:t>
      </w:r>
      <w:proofErr w:type="spellStart"/>
      <w:r w:rsidRPr="009B18A1">
        <w:rPr>
          <w:rFonts w:ascii="Times New Roman" w:hAnsi="Times New Roman" w:cs="Times New Roman"/>
          <w:sz w:val="20"/>
          <w:szCs w:val="20"/>
        </w:rPr>
        <w:t>Antekece</w:t>
      </w:r>
      <w:proofErr w:type="spellEnd"/>
      <w:r w:rsidRPr="009B18A1">
        <w:rPr>
          <w:rFonts w:ascii="Times New Roman" w:hAnsi="Times New Roman" w:cs="Times New Roman"/>
          <w:sz w:val="20"/>
          <w:szCs w:val="20"/>
        </w:rPr>
        <w:t xml:space="preserve"> generally refers to a vernacular which has not been standardized and which does not have any official status. Based on the personal observations of the Antakya born author, it is concluded that there are two sides of attitudes toward vernacular </w:t>
      </w:r>
      <w:proofErr w:type="spellStart"/>
      <w:r w:rsidRPr="009B18A1">
        <w:rPr>
          <w:rFonts w:ascii="Times New Roman" w:hAnsi="Times New Roman" w:cs="Times New Roman"/>
          <w:sz w:val="20"/>
          <w:szCs w:val="20"/>
        </w:rPr>
        <w:t>Antekece</w:t>
      </w:r>
      <w:proofErr w:type="spellEnd"/>
      <w:r w:rsidRPr="009B18A1">
        <w:rPr>
          <w:rFonts w:ascii="Times New Roman" w:hAnsi="Times New Roman" w:cs="Times New Roman"/>
          <w:sz w:val="20"/>
          <w:szCs w:val="20"/>
        </w:rPr>
        <w:t>, namely the positive side which shows the respectful feelings towards the vernacular language and the second is the negative side which shows the feelings of seeing the vernacular language inferior to the standard dialect. Hence</w:t>
      </w:r>
      <w:proofErr w:type="gramStart"/>
      <w:r w:rsidRPr="009B18A1">
        <w:rPr>
          <w:rFonts w:ascii="Times New Roman" w:hAnsi="Times New Roman" w:cs="Times New Roman"/>
          <w:sz w:val="20"/>
          <w:szCs w:val="20"/>
        </w:rPr>
        <w:t>,  it</w:t>
      </w:r>
      <w:proofErr w:type="gramEnd"/>
      <w:r w:rsidRPr="009B18A1">
        <w:rPr>
          <w:rFonts w:ascii="Times New Roman" w:hAnsi="Times New Roman" w:cs="Times New Roman"/>
          <w:sz w:val="20"/>
          <w:szCs w:val="20"/>
        </w:rPr>
        <w:t xml:space="preserve"> is suggested that people from Antakya have positive attitudes towards their vernacular language and use it appropriately in the right spatial and temporal settings. However, how the language attitudes of people in general from Antakya towards this specific vernacular language is and to find out the reasons why it happens the way it does requires further research</w:t>
      </w:r>
    </w:p>
    <w:sectPr w:rsidR="00E87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C3DB9"/>
    <w:rsid w:val="00CC3DB9"/>
    <w:rsid w:val="00E8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D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2013-05-22T13:53:00Z</dcterms:created>
  <dcterms:modified xsi:type="dcterms:W3CDTF">2013-05-22T13:53:00Z</dcterms:modified>
</cp:coreProperties>
</file>