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D66" w:rsidRPr="005E599E" w:rsidRDefault="00752D66" w:rsidP="00752D66">
      <w:pPr>
        <w:pStyle w:val="Heading1"/>
        <w:pBdr>
          <w:bottom w:val="single" w:sz="4" w:space="1" w:color="auto"/>
        </w:pBdr>
        <w:spacing w:before="0"/>
        <w:jc w:val="center"/>
        <w:rPr>
          <w:rFonts w:ascii="Adobe Garamond Pro" w:eastAsia="Calibri" w:hAnsi="Adobe Garamond Pro"/>
          <w:color w:val="auto"/>
        </w:rPr>
      </w:pPr>
      <w:bookmarkStart w:id="0" w:name="_Toc356818156"/>
      <w:r w:rsidRPr="005E599E">
        <w:rPr>
          <w:rFonts w:ascii="Adobe Garamond Pro" w:eastAsia="SimSun" w:hAnsi="Adobe Garamond Pro"/>
          <w:color w:val="auto"/>
          <w:lang w:val="tr-TR" w:eastAsia="zh-CN"/>
        </w:rPr>
        <w:t xml:space="preserve">SYNTHESİS AND CHARACTERİZATİON OF </w:t>
      </w:r>
      <w:r w:rsidRPr="005E599E">
        <w:rPr>
          <w:rFonts w:ascii="Adobe Garamond Pro" w:eastAsia="Calibri" w:hAnsi="Adobe Garamond Pro"/>
          <w:bCs w:val="0"/>
          <w:color w:val="auto"/>
        </w:rPr>
        <w:t xml:space="preserve">(BI2O3)1-X-Y(SM2O3)X(TM2O3)Y  </w:t>
      </w:r>
      <w:r w:rsidRPr="005E599E">
        <w:rPr>
          <w:rFonts w:ascii="Adobe Garamond Pro" w:eastAsia="SimSun" w:hAnsi="Adobe Garamond Pro"/>
          <w:color w:val="auto"/>
          <w:lang w:val="tr-TR" w:eastAsia="zh-CN"/>
        </w:rPr>
        <w:t>TERNARY SYSTEM</w:t>
      </w:r>
      <w:bookmarkEnd w:id="0"/>
    </w:p>
    <w:p w:rsidR="00752D66" w:rsidRPr="00A725A9" w:rsidRDefault="00752D66" w:rsidP="00752D66">
      <w:pPr>
        <w:spacing w:line="240" w:lineRule="auto"/>
        <w:rPr>
          <w:rFonts w:ascii="Adobe Garamond Pro" w:hAnsi="Adobe Garamond Pro"/>
          <w:sz w:val="24"/>
          <w:szCs w:val="24"/>
          <w:lang w:eastAsia="tr-TR"/>
        </w:rPr>
      </w:pPr>
    </w:p>
    <w:p w:rsidR="00752D66" w:rsidRPr="00A725A9" w:rsidRDefault="00752D66" w:rsidP="00752D66">
      <w:pPr>
        <w:spacing w:line="240" w:lineRule="auto"/>
        <w:jc w:val="center"/>
        <w:rPr>
          <w:rFonts w:ascii="Adobe Garamond Pro" w:hAnsi="Adobe Garamond Pro"/>
          <w:sz w:val="24"/>
          <w:szCs w:val="24"/>
          <w:lang w:val="tr-TR" w:eastAsia="tr-TR"/>
        </w:rPr>
      </w:pPr>
      <w:r w:rsidRPr="00A725A9">
        <w:rPr>
          <w:rFonts w:ascii="Adobe Garamond Pro" w:hAnsi="Adobe Garamond Pro"/>
          <w:b/>
          <w:sz w:val="24"/>
          <w:szCs w:val="24"/>
          <w:lang w:val="tr-TR" w:eastAsia="tr-TR"/>
        </w:rPr>
        <w:t>Semra Durmuş</w:t>
      </w:r>
      <w:r>
        <w:rPr>
          <w:rFonts w:ascii="Adobe Garamond Pro" w:hAnsi="Adobe Garamond Pro"/>
          <w:b/>
          <w:sz w:val="24"/>
          <w:szCs w:val="24"/>
          <w:lang w:val="tr-TR" w:eastAsia="tr-TR"/>
        </w:rPr>
        <w:br/>
      </w:r>
      <w:r w:rsidRPr="00A725A9">
        <w:rPr>
          <w:rFonts w:ascii="Adobe Garamond Pro" w:hAnsi="Adobe Garamond Pro"/>
          <w:i/>
          <w:sz w:val="24"/>
          <w:szCs w:val="24"/>
          <w:lang w:val="tr-TR" w:eastAsia="tr-TR"/>
        </w:rPr>
        <w:t>DumlupınarUniversity, Kütahya, Turkey</w:t>
      </w:r>
      <w:r>
        <w:rPr>
          <w:rFonts w:ascii="Adobe Garamond Pro" w:hAnsi="Adobe Garamond Pro"/>
          <w:i/>
          <w:sz w:val="24"/>
          <w:szCs w:val="24"/>
          <w:lang w:val="tr-TR" w:eastAsia="tr-TR"/>
        </w:rPr>
        <w:br/>
      </w:r>
      <w:r w:rsidRPr="00A725A9">
        <w:rPr>
          <w:rFonts w:ascii="Adobe Garamond Pro" w:eastAsia="Calibri" w:hAnsi="Adobe Garamond Pro"/>
          <w:iCs/>
          <w:sz w:val="24"/>
          <w:szCs w:val="24"/>
        </w:rPr>
        <w:t>semradurmus@dpu.edu.tr</w:t>
      </w:r>
    </w:p>
    <w:p w:rsidR="00752D66" w:rsidRPr="00A725A9" w:rsidRDefault="00752D66" w:rsidP="00752D66">
      <w:pPr>
        <w:spacing w:line="240" w:lineRule="auto"/>
        <w:jc w:val="center"/>
        <w:rPr>
          <w:rFonts w:ascii="Adobe Garamond Pro" w:eastAsia="SimSun" w:hAnsi="Adobe Garamond Pro"/>
          <w:sz w:val="24"/>
          <w:szCs w:val="24"/>
          <w:lang w:eastAsia="zh-CN"/>
        </w:rPr>
      </w:pPr>
      <w:r w:rsidRPr="00A725A9">
        <w:rPr>
          <w:rFonts w:ascii="Adobe Garamond Pro" w:hAnsi="Adobe Garamond Pro"/>
          <w:b/>
          <w:sz w:val="24"/>
          <w:szCs w:val="24"/>
          <w:lang w:val="tr-TR" w:eastAsia="tr-TR"/>
        </w:rPr>
        <w:t xml:space="preserve"> Muammer Gavas</w:t>
      </w:r>
      <w:r>
        <w:rPr>
          <w:rFonts w:ascii="Adobe Garamond Pro" w:hAnsi="Adobe Garamond Pro"/>
          <w:b/>
          <w:sz w:val="24"/>
          <w:szCs w:val="24"/>
          <w:lang w:val="tr-TR" w:eastAsia="tr-TR"/>
        </w:rPr>
        <w:br/>
      </w:r>
      <w:r w:rsidRPr="00A725A9">
        <w:rPr>
          <w:rFonts w:ascii="Adobe Garamond Pro" w:hAnsi="Adobe Garamond Pro"/>
          <w:i/>
          <w:sz w:val="24"/>
          <w:szCs w:val="24"/>
          <w:lang w:val="tr-TR" w:eastAsia="tr-TR"/>
        </w:rPr>
        <w:t>DumlupınarUniversity, Kütahya, Turkey</w:t>
      </w:r>
      <w:r>
        <w:rPr>
          <w:rFonts w:ascii="Adobe Garamond Pro" w:hAnsi="Adobe Garamond Pro"/>
          <w:i/>
          <w:sz w:val="24"/>
          <w:szCs w:val="24"/>
          <w:lang w:val="tr-TR" w:eastAsia="tr-TR"/>
        </w:rPr>
        <w:br/>
      </w:r>
      <w:r w:rsidRPr="00A725A9">
        <w:rPr>
          <w:rFonts w:ascii="Adobe Garamond Pro" w:eastAsia="Calibri" w:hAnsi="Adobe Garamond Pro"/>
          <w:iCs/>
          <w:sz w:val="24"/>
          <w:szCs w:val="24"/>
        </w:rPr>
        <w:t>gavas@dpu.edu.tr</w:t>
      </w:r>
    </w:p>
    <w:p w:rsidR="00752D66" w:rsidRPr="00A725A9" w:rsidRDefault="00752D66" w:rsidP="00752D66">
      <w:pPr>
        <w:spacing w:line="240" w:lineRule="auto"/>
        <w:jc w:val="center"/>
        <w:rPr>
          <w:rFonts w:ascii="Adobe Garamond Pro" w:eastAsia="SimSun" w:hAnsi="Adobe Garamond Pro"/>
          <w:sz w:val="24"/>
          <w:szCs w:val="24"/>
          <w:lang w:eastAsia="zh-CN"/>
        </w:rPr>
      </w:pPr>
      <w:r w:rsidRPr="00A725A9">
        <w:rPr>
          <w:rFonts w:ascii="Adobe Garamond Pro" w:hAnsi="Adobe Garamond Pro"/>
          <w:b/>
          <w:sz w:val="24"/>
          <w:szCs w:val="24"/>
          <w:lang w:val="tr-TR" w:eastAsia="tr-TR"/>
        </w:rPr>
        <w:t>Hicret Akalan</w:t>
      </w:r>
      <w:r>
        <w:rPr>
          <w:rFonts w:ascii="Adobe Garamond Pro" w:hAnsi="Adobe Garamond Pro"/>
          <w:b/>
          <w:sz w:val="24"/>
          <w:szCs w:val="24"/>
          <w:lang w:val="tr-TR" w:eastAsia="tr-TR"/>
        </w:rPr>
        <w:br/>
      </w:r>
      <w:r w:rsidRPr="00A725A9">
        <w:rPr>
          <w:rFonts w:ascii="Adobe Garamond Pro" w:hAnsi="Adobe Garamond Pro"/>
          <w:i/>
          <w:sz w:val="24"/>
          <w:szCs w:val="24"/>
          <w:lang w:val="tr-TR" w:eastAsia="tr-TR"/>
        </w:rPr>
        <w:t>Erciyes University, Kayseri, Turkey</w:t>
      </w:r>
      <w:r>
        <w:rPr>
          <w:rFonts w:ascii="Adobe Garamond Pro" w:hAnsi="Adobe Garamond Pro"/>
          <w:i/>
          <w:sz w:val="24"/>
          <w:szCs w:val="24"/>
          <w:lang w:val="tr-TR" w:eastAsia="tr-TR"/>
        </w:rPr>
        <w:br/>
      </w:r>
      <w:r w:rsidRPr="00A725A9">
        <w:rPr>
          <w:rFonts w:ascii="Adobe Garamond Pro" w:eastAsia="Calibri" w:hAnsi="Adobe Garamond Pro"/>
          <w:iCs/>
          <w:sz w:val="24"/>
          <w:szCs w:val="24"/>
        </w:rPr>
        <w:t>akalan23@hotmail.com</w:t>
      </w:r>
    </w:p>
    <w:p w:rsidR="00752D66" w:rsidRPr="00A725A9" w:rsidRDefault="00752D66" w:rsidP="00752D66">
      <w:pPr>
        <w:spacing w:line="240" w:lineRule="auto"/>
        <w:jc w:val="center"/>
        <w:rPr>
          <w:rFonts w:ascii="Adobe Garamond Pro" w:eastAsia="SimSun" w:hAnsi="Adobe Garamond Pro"/>
          <w:sz w:val="24"/>
          <w:szCs w:val="24"/>
          <w:lang w:eastAsia="zh-CN"/>
        </w:rPr>
      </w:pPr>
      <w:r w:rsidRPr="00A725A9">
        <w:rPr>
          <w:rFonts w:ascii="Adobe Garamond Pro" w:hAnsi="Adobe Garamond Pro"/>
          <w:b/>
          <w:sz w:val="24"/>
          <w:szCs w:val="24"/>
          <w:lang w:val="tr-TR" w:eastAsia="tr-TR"/>
        </w:rPr>
        <w:t>Tuğba Çifci</w:t>
      </w:r>
      <w:r>
        <w:rPr>
          <w:rFonts w:ascii="Adobe Garamond Pro" w:hAnsi="Adobe Garamond Pro"/>
          <w:b/>
          <w:sz w:val="24"/>
          <w:szCs w:val="24"/>
          <w:lang w:val="tr-TR" w:eastAsia="tr-TR"/>
        </w:rPr>
        <w:br/>
      </w:r>
      <w:r w:rsidRPr="00A725A9">
        <w:rPr>
          <w:rFonts w:ascii="Adobe Garamond Pro" w:hAnsi="Adobe Garamond Pro"/>
          <w:i/>
          <w:sz w:val="24"/>
          <w:szCs w:val="24"/>
          <w:lang w:val="tr-TR" w:eastAsia="tr-TR"/>
        </w:rPr>
        <w:t>Erciyes University, Kayseri, Turkey</w:t>
      </w:r>
      <w:r>
        <w:rPr>
          <w:rFonts w:ascii="Adobe Garamond Pro" w:hAnsi="Adobe Garamond Pro"/>
          <w:i/>
          <w:sz w:val="24"/>
          <w:szCs w:val="24"/>
          <w:lang w:val="tr-TR" w:eastAsia="tr-TR"/>
        </w:rPr>
        <w:br/>
      </w:r>
      <w:r w:rsidRPr="00A725A9">
        <w:rPr>
          <w:rFonts w:ascii="Adobe Garamond Pro" w:eastAsia="Calibri" w:hAnsi="Adobe Garamond Pro"/>
          <w:iCs/>
          <w:sz w:val="24"/>
          <w:szCs w:val="24"/>
        </w:rPr>
        <w:t>tugbacifci@hotmail.com</w:t>
      </w:r>
    </w:p>
    <w:p w:rsidR="00752D66" w:rsidRPr="00A725A9" w:rsidRDefault="00752D66" w:rsidP="00752D66">
      <w:pPr>
        <w:autoSpaceDE w:val="0"/>
        <w:autoSpaceDN w:val="0"/>
        <w:adjustRightInd w:val="0"/>
        <w:spacing w:line="240" w:lineRule="auto"/>
        <w:rPr>
          <w:rFonts w:ascii="Adobe Garamond Pro" w:eastAsia="Calibri" w:hAnsi="Adobe Garamond Pro"/>
          <w:i/>
          <w:iCs/>
          <w:sz w:val="24"/>
          <w:szCs w:val="24"/>
        </w:rPr>
      </w:pPr>
    </w:p>
    <w:p w:rsidR="00752D66" w:rsidRPr="00A725A9" w:rsidRDefault="00752D66" w:rsidP="00752D66">
      <w:pPr>
        <w:autoSpaceDE w:val="0"/>
        <w:autoSpaceDN w:val="0"/>
        <w:adjustRightInd w:val="0"/>
        <w:spacing w:line="240" w:lineRule="auto"/>
        <w:rPr>
          <w:rFonts w:ascii="Adobe Garamond Pro" w:eastAsia="Calibri" w:hAnsi="Adobe Garamond Pro"/>
          <w:sz w:val="24"/>
          <w:szCs w:val="24"/>
        </w:rPr>
      </w:pPr>
    </w:p>
    <w:p w:rsidR="00242C02" w:rsidRDefault="00752D66" w:rsidP="00752D66">
      <w:r w:rsidRPr="00A725A9">
        <w:rPr>
          <w:rFonts w:ascii="Adobe Garamond Pro" w:eastAsia="Calibri" w:hAnsi="Adobe Garamond Pro"/>
          <w:sz w:val="24"/>
          <w:szCs w:val="24"/>
        </w:rPr>
        <w:t>Solid oxide fuel cells (SOFCs) are very efficient electro- chemical energy-conversion systems because of their high energy conversion efficiency, high power density, clean and environmentally friendly output when hydrogen is used as fuel, and flexibility in using various fuels. Bi2O3-based materials have been considered as potential materials for solid oxide fuel cell electrolyte due to their high oxygen ionic conductivity. They have also been shown to be the most promising electrolytes for intermediate operating temperatures (600–800 0C) of SOFCs since they have higher oxygen ion conductivity compared with other materials with similar properties. Many researchers have focused on the properties of oxide doped Bi2O3-based electrolytes operating at intermediate temperatures and most of them have attempted to overcome the in stability problems of the materials to obtain better performance in technological applications</w:t>
      </w:r>
    </w:p>
    <w:sectPr w:rsidR="00242C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752D66"/>
    <w:rsid w:val="00242C02"/>
    <w:rsid w:val="00752D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2D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2D6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2013-05-30T12:38:00Z</dcterms:created>
  <dcterms:modified xsi:type="dcterms:W3CDTF">2013-05-30T12:39:00Z</dcterms:modified>
</cp:coreProperties>
</file>