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02" w:rsidRPr="00112B1F" w:rsidRDefault="008A5402" w:rsidP="008A5402">
      <w:pPr>
        <w:pStyle w:val="Heading1"/>
        <w:pBdr>
          <w:bottom w:val="single" w:sz="4" w:space="1" w:color="auto"/>
        </w:pBdr>
        <w:spacing w:before="0" w:line="240" w:lineRule="auto"/>
        <w:jc w:val="center"/>
        <w:rPr>
          <w:rFonts w:ascii="Adobe Garamond Pro" w:hAnsi="Adobe Garamond Pro"/>
          <w:color w:val="auto"/>
          <w:lang w:eastAsia="tr-TR"/>
        </w:rPr>
      </w:pPr>
      <w:bookmarkStart w:id="0" w:name="_Toc356818123"/>
      <w:r w:rsidRPr="00112B1F">
        <w:rPr>
          <w:rFonts w:ascii="Adobe Garamond Pro" w:hAnsi="Adobe Garamond Pro"/>
          <w:color w:val="auto"/>
          <w:lang w:eastAsia="tr-TR"/>
        </w:rPr>
        <w:t>PERFORMANCES OF FLAT-PLATE AND CPC SOLAR COLLECTORS IN UNDERFLOOR HEATING SYSTEMS</w:t>
      </w:r>
      <w:bookmarkEnd w:id="0"/>
    </w:p>
    <w:p w:rsidR="008A5402" w:rsidRPr="00A725A9" w:rsidRDefault="008A5402" w:rsidP="008A5402">
      <w:pPr>
        <w:spacing w:line="240" w:lineRule="auto"/>
        <w:jc w:val="center"/>
        <w:rPr>
          <w:rFonts w:ascii="Adobe Garamond Pro" w:hAnsi="Adobe Garamond Pro"/>
          <w:b/>
          <w:bCs/>
          <w:sz w:val="24"/>
          <w:szCs w:val="24"/>
        </w:rPr>
      </w:pPr>
    </w:p>
    <w:p w:rsidR="008A5402" w:rsidRPr="00A725A9" w:rsidRDefault="008A5402" w:rsidP="008A5402">
      <w:pPr>
        <w:jc w:val="center"/>
        <w:rPr>
          <w:rFonts w:ascii="Adobe Garamond Pro" w:eastAsia="SimSun" w:hAnsi="Adobe Garamond Pro"/>
          <w:sz w:val="24"/>
          <w:szCs w:val="24"/>
          <w:lang w:eastAsia="zh-CN"/>
        </w:rPr>
      </w:pPr>
      <w:proofErr w:type="spellStart"/>
      <w:r w:rsidRPr="00A725A9">
        <w:rPr>
          <w:rFonts w:ascii="Adobe Garamond Pro" w:hAnsi="Adobe Garamond Pro"/>
          <w:b/>
          <w:sz w:val="24"/>
          <w:szCs w:val="24"/>
          <w:lang w:eastAsia="tr-TR"/>
        </w:rPr>
        <w:t>Sarvenaz</w:t>
      </w:r>
      <w:proofErr w:type="spellEnd"/>
      <w:r w:rsidRPr="00A725A9">
        <w:rPr>
          <w:rFonts w:ascii="Adobe Garamond Pro" w:hAnsi="Adobe Garamond Pro"/>
          <w:b/>
          <w:sz w:val="24"/>
          <w:szCs w:val="24"/>
          <w:lang w:eastAsia="tr-TR"/>
        </w:rPr>
        <w:t xml:space="preserve"> </w:t>
      </w:r>
      <w:proofErr w:type="spellStart"/>
      <w:r w:rsidRPr="00A725A9">
        <w:rPr>
          <w:rFonts w:ascii="Adobe Garamond Pro" w:hAnsi="Adobe Garamond Pro"/>
          <w:b/>
          <w:sz w:val="24"/>
          <w:szCs w:val="24"/>
          <w:lang w:eastAsia="tr-TR"/>
        </w:rPr>
        <w:t>Sobhansarbandi</w:t>
      </w:r>
      <w:proofErr w:type="spellEnd"/>
      <w:r>
        <w:rPr>
          <w:rFonts w:ascii="Adobe Garamond Pro" w:hAnsi="Adobe Garamond Pro"/>
          <w:b/>
          <w:sz w:val="24"/>
          <w:szCs w:val="24"/>
          <w:lang w:eastAsia="tr-TR"/>
        </w:rPr>
        <w:br/>
      </w:r>
      <w:r w:rsidRPr="00A725A9">
        <w:rPr>
          <w:rFonts w:ascii="Adobe Garamond Pro" w:eastAsia="SimSun" w:hAnsi="Adobe Garamond Pro"/>
          <w:i/>
          <w:sz w:val="24"/>
          <w:szCs w:val="24"/>
          <w:lang w:eastAsia="zh-CN"/>
        </w:rPr>
        <w:t>Eastern Mediterranean University, North Cyprus via Mersin, Turkey</w:t>
      </w:r>
      <w:r>
        <w:rPr>
          <w:rFonts w:ascii="Adobe Garamond Pro" w:eastAsia="SimSun" w:hAnsi="Adobe Garamond Pro"/>
          <w:i/>
          <w:sz w:val="24"/>
          <w:szCs w:val="24"/>
          <w:lang w:eastAsia="zh-CN"/>
        </w:rPr>
        <w:br/>
      </w:r>
      <w:hyperlink r:id="rId4" w:history="1">
        <w:r w:rsidRPr="00A725A9">
          <w:rPr>
            <w:rFonts w:ascii="Adobe Garamond Pro" w:eastAsia="SimSun" w:hAnsi="Adobe Garamond Pro"/>
            <w:sz w:val="24"/>
            <w:szCs w:val="24"/>
            <w:lang w:eastAsia="zh-CN"/>
          </w:rPr>
          <w:t>sobhan.sarvenaz@gmail.com</w:t>
        </w:r>
      </w:hyperlink>
    </w:p>
    <w:p w:rsidR="008A5402" w:rsidRPr="00A725A9" w:rsidRDefault="008A5402" w:rsidP="008A5402">
      <w:pPr>
        <w:jc w:val="center"/>
        <w:rPr>
          <w:rFonts w:ascii="Adobe Garamond Pro" w:hAnsi="Adobe Garamond Pro"/>
          <w:sz w:val="24"/>
          <w:szCs w:val="24"/>
          <w:lang w:eastAsia="tr-TR"/>
        </w:rPr>
      </w:pPr>
      <w:proofErr w:type="spellStart"/>
      <w:r w:rsidRPr="00A725A9">
        <w:rPr>
          <w:rFonts w:ascii="Adobe Garamond Pro" w:hAnsi="Adobe Garamond Pro"/>
          <w:b/>
          <w:sz w:val="24"/>
          <w:szCs w:val="24"/>
          <w:lang w:eastAsia="tr-TR"/>
        </w:rPr>
        <w:t>Ugur</w:t>
      </w:r>
      <w:proofErr w:type="spellEnd"/>
      <w:r w:rsidRPr="00A725A9">
        <w:rPr>
          <w:rFonts w:ascii="Adobe Garamond Pro" w:hAnsi="Adobe Garamond Pro"/>
          <w:b/>
          <w:sz w:val="24"/>
          <w:szCs w:val="24"/>
          <w:lang w:eastAsia="tr-TR"/>
        </w:rPr>
        <w:t xml:space="preserve"> </w:t>
      </w:r>
      <w:proofErr w:type="spellStart"/>
      <w:r w:rsidRPr="00A725A9">
        <w:rPr>
          <w:rFonts w:ascii="Adobe Garamond Pro" w:hAnsi="Adobe Garamond Pro"/>
          <w:b/>
          <w:sz w:val="24"/>
          <w:szCs w:val="24"/>
          <w:lang w:eastAsia="tr-TR"/>
        </w:rPr>
        <w:t>Atikol</w:t>
      </w:r>
      <w:proofErr w:type="spellEnd"/>
      <w:r>
        <w:rPr>
          <w:rFonts w:ascii="Adobe Garamond Pro" w:hAnsi="Adobe Garamond Pro"/>
          <w:b/>
          <w:sz w:val="24"/>
          <w:szCs w:val="24"/>
          <w:lang w:eastAsia="tr-TR"/>
        </w:rPr>
        <w:br/>
      </w:r>
      <w:r w:rsidRPr="00A725A9">
        <w:rPr>
          <w:rFonts w:ascii="Adobe Garamond Pro" w:hAnsi="Adobe Garamond Pro"/>
          <w:i/>
          <w:sz w:val="24"/>
          <w:szCs w:val="24"/>
          <w:lang w:eastAsia="tr-TR"/>
        </w:rPr>
        <w:t>Eastern Mediterranean University, North Cyprus via Mersin, Turkey</w:t>
      </w:r>
      <w:r>
        <w:rPr>
          <w:rFonts w:ascii="Adobe Garamond Pro" w:hAnsi="Adobe Garamond Pro"/>
          <w:i/>
          <w:sz w:val="24"/>
          <w:szCs w:val="24"/>
          <w:lang w:eastAsia="tr-TR"/>
        </w:rPr>
        <w:br/>
      </w:r>
      <w:r w:rsidRPr="00A725A9">
        <w:rPr>
          <w:rFonts w:ascii="Adobe Garamond Pro" w:hAnsi="Adobe Garamond Pro"/>
          <w:sz w:val="24"/>
          <w:szCs w:val="24"/>
          <w:lang w:eastAsia="tr-TR"/>
        </w:rPr>
        <w:t>ugur.atikol@emu.edu.tr</w:t>
      </w:r>
    </w:p>
    <w:p w:rsidR="008A5402" w:rsidRPr="00A725A9" w:rsidRDefault="008A5402" w:rsidP="008A5402">
      <w:pPr>
        <w:autoSpaceDE w:val="0"/>
        <w:autoSpaceDN w:val="0"/>
        <w:adjustRightInd w:val="0"/>
        <w:spacing w:line="240" w:lineRule="auto"/>
        <w:jc w:val="both"/>
        <w:rPr>
          <w:rFonts w:ascii="Adobe Garamond Pro" w:eastAsia="SimSun" w:hAnsi="Adobe Garamond Pro"/>
          <w:bCs/>
          <w:sz w:val="24"/>
          <w:szCs w:val="24"/>
          <w:lang w:val="tr-TR" w:eastAsia="zh-CN"/>
        </w:rPr>
      </w:pPr>
      <w:r w:rsidRPr="00A725A9">
        <w:rPr>
          <w:rFonts w:ascii="Adobe Garamond Pro" w:eastAsia="SimSun" w:hAnsi="Adobe Garamond Pro"/>
          <w:b/>
          <w:bCs/>
          <w:iCs/>
          <w:sz w:val="24"/>
          <w:szCs w:val="24"/>
          <w:lang w:eastAsia="zh-CN"/>
        </w:rPr>
        <w:t>Keywords</w:t>
      </w:r>
      <w:proofErr w:type="gramStart"/>
      <w:r w:rsidRPr="00A725A9">
        <w:rPr>
          <w:rFonts w:ascii="Adobe Garamond Pro" w:eastAsia="SimSun" w:hAnsi="Adobe Garamond Pro"/>
          <w:b/>
          <w:bCs/>
          <w:i/>
          <w:iCs/>
          <w:sz w:val="24"/>
          <w:szCs w:val="24"/>
          <w:lang w:eastAsia="zh-CN"/>
        </w:rPr>
        <w:t>:</w:t>
      </w:r>
      <w:r w:rsidRPr="00A725A9">
        <w:rPr>
          <w:rFonts w:ascii="Adobe Garamond Pro" w:eastAsia="SimSun" w:hAnsi="Adobe Garamond Pro"/>
          <w:bCs/>
          <w:sz w:val="24"/>
          <w:szCs w:val="24"/>
          <w:lang w:val="tr-TR" w:eastAsia="zh-CN"/>
        </w:rPr>
        <w:t>Solar</w:t>
      </w:r>
      <w:proofErr w:type="gramEnd"/>
      <w:r w:rsidRPr="00A725A9">
        <w:rPr>
          <w:rFonts w:ascii="Adobe Garamond Pro" w:eastAsia="SimSun" w:hAnsi="Adobe Garamond Pro"/>
          <w:bCs/>
          <w:sz w:val="24"/>
          <w:szCs w:val="24"/>
          <w:lang w:val="tr-TR" w:eastAsia="zh-CN"/>
        </w:rPr>
        <w:t xml:space="preserve"> energy, Floor Heating, TRNSYS, Cyprus.</w:t>
      </w:r>
    </w:p>
    <w:p w:rsidR="008A5402" w:rsidRPr="00112B1F" w:rsidRDefault="008A5402" w:rsidP="008A5402">
      <w:pPr>
        <w:autoSpaceDE w:val="0"/>
        <w:autoSpaceDN w:val="0"/>
        <w:adjustRightInd w:val="0"/>
        <w:spacing w:after="0" w:line="240" w:lineRule="auto"/>
        <w:jc w:val="center"/>
        <w:rPr>
          <w:rFonts w:ascii="Adobe Garamond Pro" w:eastAsia="SimSun" w:hAnsi="Adobe Garamond Pro"/>
          <w:sz w:val="24"/>
          <w:szCs w:val="24"/>
          <w:lang w:eastAsia="zh-CN"/>
        </w:rPr>
      </w:pPr>
      <w:r>
        <w:rPr>
          <w:rFonts w:ascii="Adobe Garamond Pro" w:eastAsia="SimSun" w:hAnsi="Adobe Garamond Pro"/>
          <w:sz w:val="24"/>
          <w:szCs w:val="24"/>
          <w:lang w:eastAsia="zh-CN"/>
        </w:rPr>
        <w:t>ABSTRACT</w:t>
      </w:r>
    </w:p>
    <w:p w:rsidR="008A5402" w:rsidRPr="00A725A9" w:rsidRDefault="008A5402" w:rsidP="008A5402">
      <w:pPr>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There is a growing interest in using solar energy in the </w:t>
      </w:r>
      <w:proofErr w:type="spellStart"/>
      <w:r w:rsidRPr="00A725A9">
        <w:rPr>
          <w:rFonts w:ascii="Adobe Garamond Pro" w:eastAsia="Calibri" w:hAnsi="Adobe Garamond Pro"/>
          <w:sz w:val="24"/>
          <w:szCs w:val="24"/>
        </w:rPr>
        <w:t>underfloor</w:t>
      </w:r>
      <w:proofErr w:type="spellEnd"/>
      <w:r w:rsidRPr="00A725A9">
        <w:rPr>
          <w:rFonts w:ascii="Adobe Garamond Pro" w:eastAsia="Calibri" w:hAnsi="Adobe Garamond Pro"/>
          <w:sz w:val="24"/>
          <w:szCs w:val="24"/>
        </w:rPr>
        <w:t xml:space="preserve"> heating systems. However, the large areas required for the placing of the solar collectors can be discouraging, especially for the apartment buildings.</w:t>
      </w:r>
    </w:p>
    <w:p w:rsidR="008A5402" w:rsidRPr="00A725A9" w:rsidRDefault="008A5402" w:rsidP="008A5402">
      <w:pPr>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objective of this study is to investigate the possibility of using Compound Parabolic Collector (CPC) collectors to replace Flat-Plat collectors in solar energy </w:t>
      </w:r>
      <w:proofErr w:type="spellStart"/>
      <w:r w:rsidRPr="00A725A9">
        <w:rPr>
          <w:rFonts w:ascii="Adobe Garamond Pro" w:eastAsia="Calibri" w:hAnsi="Adobe Garamond Pro"/>
          <w:sz w:val="24"/>
          <w:szCs w:val="24"/>
        </w:rPr>
        <w:t>underfloor</w:t>
      </w:r>
      <w:proofErr w:type="spellEnd"/>
      <w:r w:rsidRPr="00A725A9">
        <w:rPr>
          <w:rFonts w:ascii="Adobe Garamond Pro" w:eastAsia="Calibri" w:hAnsi="Adobe Garamond Pro"/>
          <w:sz w:val="24"/>
          <w:szCs w:val="24"/>
        </w:rPr>
        <w:t xml:space="preserve"> heating systems. By this way, it is aimed to explore the feasibility of area reduction required by the collectors. Secondly, the temperature profiles of the circulating water loops and the concrete slabs are sought to be examined. </w:t>
      </w:r>
    </w:p>
    <w:p w:rsidR="008A5402" w:rsidRPr="00A725A9" w:rsidRDefault="008A5402" w:rsidP="008A5402">
      <w:pPr>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The simulations were carried out under the winter weather conditions of the Cyprus. The system consists of solar thermal collectors, a storage tank and circulation of water to carry the heat to 4 floor slabs. The results of the simulations show that, a CPC collector which is commonly used in producing high grade heat can work more effectively with less area occupied in this system. It is observed from this study that the outlet fluid temperature of this collector is between 25 to 95</w:t>
      </w:r>
      <w:r w:rsidRPr="00A725A9">
        <w:rPr>
          <w:rFonts w:ascii="Times New Roman" w:eastAsia="Calibri" w:hAnsi="Times New Roman" w:cs="Times New Roman"/>
          <w:sz w:val="24"/>
          <w:szCs w:val="24"/>
          <w:vertAlign w:val="superscript"/>
        </w:rPr>
        <w:t>◦</w:t>
      </w:r>
      <w:r w:rsidRPr="00A725A9">
        <w:rPr>
          <w:rFonts w:ascii="Adobe Garamond Pro" w:eastAsia="Calibri" w:hAnsi="Adobe Garamond Pro"/>
          <w:sz w:val="24"/>
          <w:szCs w:val="24"/>
        </w:rPr>
        <w:t>C, compared to that of Flat-Plate collectors which is between 25 and 75</w:t>
      </w:r>
      <w:r w:rsidRPr="00A725A9">
        <w:rPr>
          <w:rFonts w:ascii="Times New Roman" w:eastAsia="Calibri" w:hAnsi="Times New Roman" w:cs="Times New Roman"/>
          <w:sz w:val="24"/>
          <w:szCs w:val="24"/>
          <w:vertAlign w:val="superscript"/>
        </w:rPr>
        <w:t>◦</w:t>
      </w:r>
      <w:r w:rsidRPr="00A725A9">
        <w:rPr>
          <w:rFonts w:ascii="Adobe Garamond Pro" w:eastAsia="Calibri" w:hAnsi="Adobe Garamond Pro"/>
          <w:sz w:val="24"/>
          <w:szCs w:val="24"/>
        </w:rPr>
        <w:t>C. The simulations suggest that a 2 m</w:t>
      </w:r>
      <w:r w:rsidRPr="00A725A9">
        <w:rPr>
          <w:rFonts w:ascii="Adobe Garamond Pro" w:eastAsia="Calibri" w:hAnsi="Adobe Garamond Pro"/>
          <w:sz w:val="24"/>
          <w:szCs w:val="24"/>
          <w:vertAlign w:val="superscript"/>
        </w:rPr>
        <w:t>2</w:t>
      </w:r>
      <w:r w:rsidRPr="00A725A9">
        <w:rPr>
          <w:rFonts w:ascii="Adobe Garamond Pro" w:eastAsia="Calibri" w:hAnsi="Adobe Garamond Pro"/>
          <w:sz w:val="24"/>
          <w:szCs w:val="24"/>
        </w:rPr>
        <w:t xml:space="preserve"> CPC collector can perform satisfactorily to match the job of 8 m</w:t>
      </w:r>
      <w:r w:rsidRPr="00A725A9">
        <w:rPr>
          <w:rFonts w:ascii="Adobe Garamond Pro" w:eastAsia="Calibri" w:hAnsi="Adobe Garamond Pro"/>
          <w:sz w:val="24"/>
          <w:szCs w:val="24"/>
          <w:vertAlign w:val="superscript"/>
        </w:rPr>
        <w:t>2</w:t>
      </w:r>
      <w:r w:rsidRPr="00A725A9">
        <w:rPr>
          <w:rFonts w:ascii="Adobe Garamond Pro" w:eastAsia="Calibri" w:hAnsi="Adobe Garamond Pro"/>
          <w:sz w:val="24"/>
          <w:szCs w:val="24"/>
        </w:rPr>
        <w:t xml:space="preserve"> Flat-Plate collectors. The heat that is stored in the tank can supply hot water at a temperature of 60</w:t>
      </w:r>
      <w:r w:rsidRPr="00A725A9">
        <w:rPr>
          <w:rFonts w:ascii="Times New Roman" w:eastAsia="Calibri" w:hAnsi="Times New Roman" w:cs="Times New Roman"/>
          <w:sz w:val="24"/>
          <w:szCs w:val="24"/>
          <w:vertAlign w:val="superscript"/>
        </w:rPr>
        <w:t>◦</w:t>
      </w:r>
      <w:r w:rsidRPr="00A725A9">
        <w:rPr>
          <w:rFonts w:ascii="Adobe Garamond Pro" w:eastAsia="Calibri" w:hAnsi="Adobe Garamond Pro"/>
          <w:sz w:val="24"/>
          <w:szCs w:val="24"/>
        </w:rPr>
        <w:t>C which is reduced to 45</w:t>
      </w:r>
      <w:r w:rsidRPr="00A725A9">
        <w:rPr>
          <w:rFonts w:ascii="Times New Roman" w:eastAsia="Calibri" w:hAnsi="Times New Roman" w:cs="Times New Roman"/>
          <w:sz w:val="24"/>
          <w:szCs w:val="24"/>
          <w:vertAlign w:val="superscript"/>
        </w:rPr>
        <w:t>◦</w:t>
      </w:r>
      <w:r w:rsidRPr="00A725A9">
        <w:rPr>
          <w:rFonts w:ascii="Adobe Garamond Pro" w:eastAsia="Calibri" w:hAnsi="Adobe Garamond Pro"/>
          <w:sz w:val="24"/>
          <w:szCs w:val="24"/>
        </w:rPr>
        <w:t>C after mixing with cold return water before entering the floor slabs. The estimated slab temperature is approximately 24</w:t>
      </w:r>
      <w:r w:rsidRPr="00A725A9">
        <w:rPr>
          <w:rFonts w:ascii="Times New Roman" w:eastAsia="Calibri" w:hAnsi="Times New Roman" w:cs="Times New Roman"/>
          <w:sz w:val="24"/>
          <w:szCs w:val="24"/>
          <w:vertAlign w:val="superscript"/>
        </w:rPr>
        <w:t>◦</w:t>
      </w:r>
      <w:r w:rsidRPr="00A725A9">
        <w:rPr>
          <w:rFonts w:ascii="Adobe Garamond Pro" w:eastAsia="Calibri" w:hAnsi="Adobe Garamond Pro"/>
          <w:sz w:val="24"/>
          <w:szCs w:val="24"/>
        </w:rPr>
        <w:t>C which is compatible with the standards. Fluid which is passing through the slabs will eventually lose its temperature as the heat transfer occurs from the slabs to the environment. Consequently the fluid outlet temperature is observed to be approximately 25</w:t>
      </w:r>
      <w:r w:rsidRPr="00A725A9">
        <w:rPr>
          <w:rFonts w:ascii="Times New Roman" w:eastAsia="Calibri" w:hAnsi="Times New Roman" w:cs="Times New Roman"/>
          <w:sz w:val="24"/>
          <w:szCs w:val="24"/>
          <w:vertAlign w:val="superscript"/>
        </w:rPr>
        <w:t>◦</w:t>
      </w:r>
      <w:r w:rsidRPr="00A725A9">
        <w:rPr>
          <w:rFonts w:ascii="Adobe Garamond Pro" w:eastAsia="Calibri" w:hAnsi="Adobe Garamond Pro"/>
          <w:sz w:val="24"/>
          <w:szCs w:val="24"/>
        </w:rPr>
        <w:t>C.</w:t>
      </w:r>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A5402"/>
    <w:rsid w:val="00857F79"/>
    <w:rsid w:val="008A5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5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4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bhan.sarven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2013-05-30T12:12:00Z</dcterms:created>
  <dcterms:modified xsi:type="dcterms:W3CDTF">2013-05-30T12:12:00Z</dcterms:modified>
</cp:coreProperties>
</file>