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5F" w:rsidRPr="009B18A1" w:rsidRDefault="00061A5F" w:rsidP="00061A5F">
      <w:pPr>
        <w:pStyle w:val="Heading1"/>
        <w:spacing w:before="0"/>
        <w:jc w:val="center"/>
        <w:rPr>
          <w:rFonts w:ascii="Times New Roman" w:hAnsi="Times New Roman" w:cs="Times New Roman"/>
          <w:color w:val="000000" w:themeColor="text1"/>
          <w:sz w:val="24"/>
          <w:szCs w:val="24"/>
        </w:rPr>
      </w:pPr>
      <w:bookmarkStart w:id="0" w:name="_Toc353455524"/>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pt;margin-top:29.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000000" w:themeColor="text1"/>
          <w:sz w:val="24"/>
          <w:szCs w:val="24"/>
        </w:rPr>
        <w:t>The Usage of Exercises in Foreign Language Grammar Lessons</w:t>
      </w:r>
      <w:bookmarkEnd w:id="0"/>
    </w:p>
    <w:p w:rsidR="00061A5F" w:rsidRPr="009B18A1" w:rsidRDefault="00061A5F" w:rsidP="00061A5F">
      <w:pPr>
        <w:spacing w:after="0" w:line="240" w:lineRule="auto"/>
        <w:ind w:right="56"/>
        <w:jc w:val="center"/>
        <w:rPr>
          <w:rFonts w:ascii="Times New Roman" w:hAnsi="Times New Roman" w:cs="Times New Roman"/>
          <w:b/>
          <w:sz w:val="20"/>
          <w:szCs w:val="20"/>
        </w:rPr>
      </w:pPr>
    </w:p>
    <w:p w:rsidR="00061A5F" w:rsidRPr="009B18A1" w:rsidRDefault="00061A5F" w:rsidP="00061A5F">
      <w:pPr>
        <w:spacing w:after="0" w:line="240" w:lineRule="auto"/>
        <w:ind w:right="56"/>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Gordona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Bojicic</w:t>
      </w:r>
      <w:proofErr w:type="spellEnd"/>
    </w:p>
    <w:p w:rsidR="00061A5F" w:rsidRPr="009B18A1" w:rsidRDefault="00061A5F" w:rsidP="00061A5F">
      <w:pPr>
        <w:spacing w:after="0" w:line="240" w:lineRule="auto"/>
        <w:jc w:val="center"/>
        <w:rPr>
          <w:rFonts w:ascii="Times New Roman" w:hAnsi="Times New Roman" w:cs="Times New Roman"/>
          <w:i/>
          <w:sz w:val="20"/>
          <w:szCs w:val="20"/>
        </w:rPr>
      </w:pPr>
      <w:r w:rsidRPr="009B18A1">
        <w:rPr>
          <w:rFonts w:ascii="Times New Roman" w:eastAsia="Calibri" w:hAnsi="Times New Roman" w:cs="Times New Roman"/>
          <w:i/>
          <w:sz w:val="20"/>
          <w:szCs w:val="20"/>
        </w:rPr>
        <w:t>University of Montenegro</w:t>
      </w:r>
    </w:p>
    <w:p w:rsidR="00061A5F" w:rsidRPr="009B18A1" w:rsidRDefault="00061A5F" w:rsidP="00061A5F">
      <w:pPr>
        <w:spacing w:after="0" w:line="240" w:lineRule="auto"/>
        <w:ind w:right="56"/>
        <w:rPr>
          <w:rFonts w:ascii="Times New Roman" w:hAnsi="Times New Roman" w:cs="Times New Roman"/>
          <w:sz w:val="20"/>
          <w:szCs w:val="20"/>
        </w:rPr>
      </w:pPr>
      <w:r w:rsidRPr="009B18A1">
        <w:rPr>
          <w:rFonts w:ascii="Times New Roman" w:eastAsia="Calibri" w:hAnsi="Times New Roman" w:cs="Times New Roman"/>
          <w:b/>
          <w:sz w:val="20"/>
          <w:szCs w:val="20"/>
        </w:rPr>
        <w:t>Key words:</w:t>
      </w:r>
      <w:r w:rsidRPr="009B18A1">
        <w:rPr>
          <w:rFonts w:ascii="Times New Roman" w:eastAsia="Calibri" w:hAnsi="Times New Roman" w:cs="Times New Roman"/>
          <w:sz w:val="20"/>
          <w:szCs w:val="20"/>
        </w:rPr>
        <w:t xml:space="preserve"> exercises, foreign language, grammar, Italian.</w:t>
      </w:r>
    </w:p>
    <w:p w:rsidR="00061A5F" w:rsidRPr="009B18A1" w:rsidRDefault="00061A5F" w:rsidP="00061A5F">
      <w:pPr>
        <w:spacing w:after="0" w:line="240" w:lineRule="auto"/>
        <w:ind w:right="56"/>
        <w:jc w:val="center"/>
        <w:rPr>
          <w:rFonts w:ascii="Times New Roman" w:eastAsia="Calibri" w:hAnsi="Times New Roman" w:cs="Times New Roman"/>
          <w:sz w:val="20"/>
          <w:szCs w:val="20"/>
        </w:rPr>
      </w:pPr>
    </w:p>
    <w:p w:rsidR="00061A5F" w:rsidRPr="009B18A1" w:rsidRDefault="00061A5F" w:rsidP="00061A5F">
      <w:pPr>
        <w:spacing w:after="0" w:line="240" w:lineRule="auto"/>
        <w:ind w:right="56"/>
        <w:jc w:val="center"/>
        <w:rPr>
          <w:rFonts w:ascii="Times New Roman" w:eastAsia="Calibri" w:hAnsi="Times New Roman" w:cs="Times New Roman"/>
          <w:sz w:val="20"/>
          <w:szCs w:val="20"/>
        </w:rPr>
      </w:pPr>
      <w:r w:rsidRPr="009B18A1">
        <w:rPr>
          <w:rFonts w:ascii="Times New Roman" w:eastAsia="Calibri" w:hAnsi="Times New Roman" w:cs="Times New Roman"/>
          <w:sz w:val="20"/>
          <w:szCs w:val="20"/>
        </w:rPr>
        <w:t>ABSTRACT</w:t>
      </w:r>
    </w:p>
    <w:p w:rsidR="00061A5F" w:rsidRPr="009B18A1" w:rsidRDefault="00061A5F" w:rsidP="00061A5F">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In foreign language teaching in general, exercises must have a dominant position, since a large variety of exercises is a prerequisite for mastering any foreign language. All other processes occurring in the classroom should have a subsidiary function, in order to facilitate the language learning and to contribute more rational and more efficient use of exercises.</w:t>
      </w:r>
    </w:p>
    <w:p w:rsidR="00061A5F" w:rsidRPr="009B18A1" w:rsidRDefault="00061A5F" w:rsidP="00061A5F">
      <w:pPr>
        <w:spacing w:after="0" w:line="240" w:lineRule="auto"/>
        <w:rPr>
          <w:rFonts w:ascii="Times New Roman" w:eastAsia="Calibri" w:hAnsi="Times New Roman" w:cs="Times New Roman"/>
          <w:sz w:val="20"/>
          <w:szCs w:val="20"/>
          <w:lang w:val="en-GB"/>
        </w:rPr>
      </w:pPr>
    </w:p>
    <w:p w:rsidR="00061A5F" w:rsidRPr="009B18A1" w:rsidRDefault="00061A5F" w:rsidP="00061A5F">
      <w:pPr>
        <w:spacing w:after="0" w:line="240" w:lineRule="auto"/>
        <w:ind w:right="56"/>
        <w:jc w:val="both"/>
        <w:rPr>
          <w:rFonts w:ascii="Times New Roman" w:hAnsi="Times New Roman" w:cs="Times New Roman"/>
          <w:sz w:val="20"/>
          <w:szCs w:val="20"/>
        </w:rPr>
      </w:pPr>
      <w:r w:rsidRPr="009B18A1">
        <w:rPr>
          <w:rFonts w:ascii="Times New Roman" w:eastAsia="Calibri" w:hAnsi="Times New Roman" w:cs="Times New Roman"/>
          <w:sz w:val="20"/>
          <w:szCs w:val="20"/>
        </w:rPr>
        <w:t>After a short review of existing classifications of language exercises, the paper will try to provide some basic methodological remarks on the exercises and their use in grammar lessons. We will also analyze the textbooks for Italian as a foreign language in order to determine which type of lang</w:t>
      </w:r>
      <w:r w:rsidRPr="009B18A1">
        <w:rPr>
          <w:rFonts w:ascii="Times New Roman" w:hAnsi="Times New Roman" w:cs="Times New Roman"/>
          <w:sz w:val="20"/>
          <w:szCs w:val="20"/>
        </w:rPr>
        <w:t>uage exercises prevails in them</w:t>
      </w:r>
    </w:p>
    <w:p w:rsidR="00D00776" w:rsidRDefault="00D00776"/>
    <w:sectPr w:rsidR="00D00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61A5F"/>
    <w:rsid w:val="00061A5F"/>
    <w:rsid w:val="00D00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2013-05-22T13:29:00Z</dcterms:created>
  <dcterms:modified xsi:type="dcterms:W3CDTF">2013-05-22T13:29:00Z</dcterms:modified>
</cp:coreProperties>
</file>