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7E4538" w:rsidRPr="007E4538" w:rsidRDefault="007E4538" w:rsidP="007E4538">
      <w:pPr>
        <w:spacing w:after="0" w:line="240" w:lineRule="auto"/>
        <w:jc w:val="center"/>
        <w:rPr>
          <w:rFonts w:ascii="Adobe Garamond Pro" w:hAnsi="Adobe Garamond Pro"/>
          <w:b/>
          <w:sz w:val="20"/>
          <w:szCs w:val="20"/>
        </w:rPr>
      </w:pPr>
    </w:p>
    <w:p w:rsidR="00960254" w:rsidRPr="00960254" w:rsidRDefault="00960254" w:rsidP="00960254">
      <w:pPr>
        <w:spacing w:after="0" w:line="240" w:lineRule="auto"/>
        <w:jc w:val="center"/>
        <w:rPr>
          <w:rFonts w:ascii="Adobe Garamond Pro" w:hAnsi="Adobe Garamond Pro" w:cs="Times New Roman"/>
          <w:b/>
          <w:sz w:val="28"/>
          <w:szCs w:val="28"/>
        </w:rPr>
      </w:pPr>
      <w:r w:rsidRPr="00960254">
        <w:rPr>
          <w:rFonts w:ascii="Adobe Garamond Pro" w:hAnsi="Adobe Garamond Pro" w:cs="Times New Roman"/>
          <w:b/>
          <w:sz w:val="28"/>
          <w:szCs w:val="28"/>
          <w:shd w:val="clear" w:color="auto" w:fill="FFFFFF" w:themeFill="background1"/>
        </w:rPr>
        <w:t>Strategija Evropa 2020</w:t>
      </w:r>
      <w:r w:rsidRPr="00960254">
        <w:rPr>
          <w:rFonts w:ascii="Adobe Garamond Pro" w:hAnsi="Adobe Garamond Pro" w:cs="Times New Roman"/>
          <w:sz w:val="28"/>
          <w:szCs w:val="28"/>
          <w:shd w:val="clear" w:color="auto" w:fill="FFFFFF" w:themeFill="background1"/>
        </w:rPr>
        <w:t>:</w:t>
      </w:r>
      <w:r w:rsidRPr="00960254">
        <w:rPr>
          <w:rFonts w:ascii="Adobe Garamond Pro" w:hAnsi="Adobe Garamond Pro" w:cs="Times New Roman"/>
          <w:sz w:val="28"/>
          <w:szCs w:val="28"/>
        </w:rPr>
        <w:t xml:space="preserve"> </w:t>
      </w:r>
    </w:p>
    <w:p w:rsidR="00960254" w:rsidRPr="00960254" w:rsidRDefault="00960254" w:rsidP="00960254">
      <w:pPr>
        <w:spacing w:after="0" w:line="240" w:lineRule="auto"/>
        <w:jc w:val="center"/>
        <w:rPr>
          <w:rFonts w:ascii="Adobe Garamond Pro" w:hAnsi="Adobe Garamond Pro" w:cs="Times New Roman"/>
          <w:b/>
          <w:sz w:val="28"/>
          <w:szCs w:val="28"/>
        </w:rPr>
      </w:pPr>
      <w:r w:rsidRPr="00960254">
        <w:rPr>
          <w:rFonts w:ascii="Adobe Garamond Pro" w:hAnsi="Adobe Garamond Pro" w:cs="Times New Roman"/>
          <w:b/>
          <w:sz w:val="28"/>
          <w:szCs w:val="28"/>
          <w:shd w:val="clear" w:color="auto" w:fill="FFFFFF" w:themeFill="background1"/>
        </w:rPr>
        <w:t>Perspektive, izazovi i posebne preporuke za Bosnu i Hercegovinu</w:t>
      </w:r>
    </w:p>
    <w:p w:rsidR="002D2430" w:rsidRPr="00406E3A" w:rsidRDefault="002D2430" w:rsidP="007E4538">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960254"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Doc</w:t>
      </w:r>
      <w:r w:rsidR="00415616">
        <w:rPr>
          <w:rFonts w:ascii="Adobe Garamond Pro" w:hAnsi="Adobe Garamond Pro"/>
          <w:b/>
        </w:rPr>
        <w:t>.</w:t>
      </w:r>
      <w:r>
        <w:rPr>
          <w:rFonts w:ascii="Adobe Garamond Pro" w:hAnsi="Adobe Garamond Pro"/>
          <w:b/>
        </w:rPr>
        <w:t xml:space="preserve"> dr.</w:t>
      </w:r>
      <w:r w:rsidR="00BD0D1C" w:rsidRPr="00BD0D1C">
        <w:rPr>
          <w:rFonts w:ascii="Adobe Garamond Pro" w:hAnsi="Adobe Garamond Pro"/>
          <w:b/>
        </w:rPr>
        <w:t xml:space="preserve"> </w:t>
      </w:r>
      <w:r>
        <w:rPr>
          <w:rFonts w:ascii="Adobe Garamond Pro" w:hAnsi="Adobe Garamond Pro"/>
          <w:b/>
        </w:rPr>
        <w:t>Amela Čolić</w:t>
      </w:r>
      <w:r w:rsidR="00BD0D1C" w:rsidRPr="00BD0D1C">
        <w:rPr>
          <w:rFonts w:ascii="Adobe Garamond Pro" w:eastAsia="Times New Roman" w:hAnsi="Adobe Garamond Pro" w:cs="Garamond"/>
          <w:b/>
          <w:color w:val="000000"/>
          <w:lang w:val="bs-Latn-BA"/>
        </w:rPr>
        <w:t xml:space="preserve"> </w:t>
      </w:r>
    </w:p>
    <w:p w:rsidR="00415616" w:rsidRPr="00415616" w:rsidRDefault="007E4538" w:rsidP="002D2430">
      <w:pPr>
        <w:pStyle w:val="NoSpacing"/>
        <w:jc w:val="center"/>
        <w:rPr>
          <w:rFonts w:ascii="Adobe Garamond Pro" w:eastAsia="Times New Roman" w:hAnsi="Adobe Garamond Pro" w:cs="Garamond"/>
          <w:i/>
          <w:color w:val="000000"/>
          <w:lang w:val="bs-Latn-BA"/>
        </w:rPr>
      </w:pPr>
      <w:r>
        <w:rPr>
          <w:rFonts w:ascii="Adobe Garamond Pro" w:hAnsi="Adobe Garamond Pro"/>
        </w:rPr>
        <w:t xml:space="preserve">Pravni fakultete </w:t>
      </w:r>
      <w:r w:rsidR="00960254">
        <w:rPr>
          <w:rFonts w:ascii="Adobe Garamond Pro" w:hAnsi="Adobe Garamond Pro"/>
        </w:rPr>
        <w:t>Univerziteta u Bihaću</w:t>
      </w:r>
    </w:p>
    <w:p w:rsidR="002D2430" w:rsidRPr="00415616" w:rsidRDefault="002D2430" w:rsidP="002D2430">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sidR="00960254">
        <w:rPr>
          <w:rFonts w:ascii="Adobe Garamond Pro" w:hAnsi="Adobe Garamond Pro"/>
          <w:i/>
        </w:rPr>
        <w:t>amela.colic@pravnifakultet.ba</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9A25F6" w:rsidP="002D2430">
      <w:pPr>
        <w:pStyle w:val="NoSpacing"/>
        <w:jc w:val="both"/>
        <w:rPr>
          <w:rFonts w:ascii="Adobe Garamond Pro" w:eastAsia="Times New Roman" w:hAnsi="Adobe Garamond Pro" w:cs="Garamond"/>
          <w:b/>
          <w:color w:val="000000"/>
          <w:lang w:val="bs-Latn-BA"/>
        </w:rPr>
      </w:pPr>
      <w:r w:rsidRPr="009A25F6">
        <w:rPr>
          <w:rFonts w:ascii="Adobe Garamond Pro" w:hAnsi="Adobe Garamond Pro"/>
          <w:i/>
          <w:noProof/>
          <w:lang w:val="bs-Latn-BA" w:eastAsia="bs-Latn-BA"/>
        </w:rPr>
        <w:pict>
          <v:rect id="_x0000_s1035" style="position:absolute;left:0;text-align:left;margin-left:-107.2pt;margin-top:4.2pt;width:340.6pt;height:281.9pt;z-index:-251658240" fillcolor="#f2f2f2 [3052]" stroked="f"/>
        </w:pict>
      </w:r>
      <w:r w:rsidRPr="009A25F6">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306.8pt;z-index:251657216;mso-width-relative:margin;mso-height-relative:margin" filled="f" stroked="f">
            <v:textbox style="mso-next-textbox:#_x0000_s1030">
              <w:txbxContent>
                <w:p w:rsidR="007E4538" w:rsidRPr="00960254" w:rsidRDefault="00BD0D1C" w:rsidP="00960254">
                  <w:pPr>
                    <w:spacing w:after="0" w:line="240" w:lineRule="auto"/>
                    <w:jc w:val="both"/>
                    <w:rPr>
                      <w:rFonts w:ascii="Adobe Garamond Pro" w:hAnsi="Adobe Garamond Pro"/>
                      <w:i/>
                      <w:sz w:val="20"/>
                      <w:szCs w:val="20"/>
                    </w:rPr>
                  </w:pPr>
                  <w:r w:rsidRPr="00960254">
                    <w:rPr>
                      <w:rFonts w:ascii="Adobe Garamond Pro" w:hAnsi="Adobe Garamond Pro" w:cs="Times New Roman"/>
                      <w:b/>
                      <w:i/>
                      <w:sz w:val="20"/>
                      <w:szCs w:val="20"/>
                      <w:lang w:val="hr-BA"/>
                    </w:rPr>
                    <w:t>Sažetak</w:t>
                  </w:r>
                  <w:r w:rsidR="00FF280B" w:rsidRPr="00960254">
                    <w:rPr>
                      <w:rFonts w:ascii="Adobe Garamond Pro" w:hAnsi="Adobe Garamond Pro" w:cs="Times New Roman"/>
                      <w:b/>
                      <w:i/>
                      <w:sz w:val="20"/>
                      <w:szCs w:val="20"/>
                      <w:lang w:val="hr-BA"/>
                    </w:rPr>
                    <w:t xml:space="preserve">: </w:t>
                  </w:r>
                  <w:r w:rsidR="00960254" w:rsidRPr="00960254">
                    <w:rPr>
                      <w:rFonts w:ascii="Adobe Garamond Pro" w:hAnsi="Adobe Garamond Pro" w:cs="Times New Roman"/>
                      <w:i/>
                      <w:sz w:val="20"/>
                      <w:szCs w:val="20"/>
                    </w:rPr>
                    <w:t>Evropska unija postavila je ambiciozne i zahtjevne ciljeve: unaprijediti uslove života ljudi, ponuditi održiv i uključiv rast, veću zaposlenost  i osiguranje javnih finansija, pružanje podrške i provođenje istog na nacionalnim nivoima država članica. Lisabonska strategija u svoje vrijeme pokazala se kao najznačajniji strateški i razvojni program EU, ali i pored toga javila se potreba za novim reformama u okviru Strategije Evropa 2020. Stoga je od 2011. godine Lisabonsku strategiju zamijenila Evropa 2020 kao novi višegodišnji strateški okvir za provođenje ekonomskih reformi na nivou EU. Ukratko prezentirati ćemo uspjehe i nedostatke u provođenju Lisabonske strategije i prikazati najavljene perspektive i izazove Evrope 2020. Iako BiH nema obavezu provođenja Strategije Evropa 2020, Evropska komisija je u cilju praćenja provođenja SSP-a i Privremenog sporazuma pozvala BiH da u svojim reformskim procesima prati ovu Strategiju. U tom smislu istaknute su perspektive, izazovi i posebne preporuke za BiH. Ovakvim i sličnim temama utiče se na svijest efikasnog provođenja reformi u BiH kao preduslov uspješnog funkcionisanja države i dobijanja statusa kandidata za članstvo u EU.</w:t>
                  </w:r>
                  <w:r w:rsidR="007E4538" w:rsidRPr="00960254">
                    <w:rPr>
                      <w:rFonts w:ascii="Adobe Garamond Pro" w:hAnsi="Adobe Garamond Pro"/>
                      <w:i/>
                      <w:sz w:val="20"/>
                      <w:szCs w:val="20"/>
                    </w:rPr>
                    <w:t xml:space="preserve"> </w:t>
                  </w:r>
                </w:p>
                <w:p w:rsidR="00FF280B" w:rsidRPr="00960254" w:rsidRDefault="00FF280B" w:rsidP="00960254">
                  <w:pPr>
                    <w:spacing w:after="0" w:line="240" w:lineRule="auto"/>
                    <w:jc w:val="both"/>
                    <w:rPr>
                      <w:rFonts w:ascii="Adobe Garamond Pro" w:hAnsi="Adobe Garamond Pro"/>
                      <w:i/>
                      <w:sz w:val="20"/>
                      <w:szCs w:val="20"/>
                    </w:rPr>
                  </w:pPr>
                </w:p>
              </w:txbxContent>
            </v:textbox>
          </v:shape>
        </w:pict>
      </w:r>
      <w:r w:rsidRPr="009A25F6">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960254" w:rsidRDefault="007E4538" w:rsidP="00960254">
                  <w:pPr>
                    <w:spacing w:after="0" w:line="240" w:lineRule="auto"/>
                    <w:rPr>
                      <w:rFonts w:ascii="Adobe Garamond Pro" w:hAnsi="Adobe Garamond Pro"/>
                      <w:b/>
                      <w:i/>
                      <w:sz w:val="20"/>
                      <w:szCs w:val="20"/>
                    </w:rPr>
                  </w:pPr>
                  <w:r w:rsidRPr="00960254">
                    <w:rPr>
                      <w:rFonts w:ascii="Adobe Garamond Pro" w:hAnsi="Adobe Garamond Pro"/>
                      <w:b/>
                      <w:i/>
                      <w:sz w:val="20"/>
                      <w:szCs w:val="20"/>
                    </w:rPr>
                    <w:t xml:space="preserve">Ključne riječi: </w:t>
                  </w:r>
                  <w:r w:rsidR="00960254" w:rsidRPr="00960254">
                    <w:rPr>
                      <w:rFonts w:ascii="Adobe Garamond Pro" w:hAnsi="Adobe Garamond Pro" w:cs="Times New Roman"/>
                      <w:i/>
                      <w:sz w:val="20"/>
                      <w:szCs w:val="20"/>
                    </w:rPr>
                    <w:t>održiv i uključiv rast, globalni izazovi, zajedničke politike, ekonomska, socijalna i teritorijalna kohezija, reformski programi</w:t>
                  </w:r>
                </w:p>
                <w:p w:rsidR="00FF280B" w:rsidRPr="00960254" w:rsidRDefault="00FF280B" w:rsidP="00960254">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8627D2" w:rsidRDefault="008627D2" w:rsidP="004B6972">
      <w:pPr>
        <w:spacing w:after="0" w:line="240" w:lineRule="auto"/>
        <w:jc w:val="both"/>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pPr>
        <w:rPr>
          <w:rFonts w:ascii="Adobe Garamond Pro" w:hAnsi="Adobe Garamond Pro" w:cs="Times New Roman"/>
          <w:sz w:val="24"/>
          <w:szCs w:val="24"/>
          <w:lang w:val="bs-Latn-BA"/>
        </w:rPr>
      </w:pPr>
      <w:r>
        <w:rPr>
          <w:rFonts w:ascii="Adobe Garamond Pro" w:hAnsi="Adobe Garamond Pro" w:cs="Times New Roman"/>
          <w:sz w:val="24"/>
          <w:szCs w:val="24"/>
          <w:lang w:val="bs-Latn-BA"/>
        </w:rPr>
        <w:br w:type="page"/>
      </w:r>
    </w:p>
    <w:p w:rsidR="008627D2" w:rsidRDefault="009A25F6" w:rsidP="004B6972">
      <w:pPr>
        <w:spacing w:after="0" w:line="240" w:lineRule="auto"/>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9" style="position:absolute;left:0;text-align:left;margin-left:-100.8pt;margin-top:.45pt;width:340.6pt;height:330.4pt;z-index:-251655168" fillcolor="#f2f2f2 [3052]" stroked="f"/>
        </w:pict>
      </w:r>
      <w:r>
        <w:rPr>
          <w:rFonts w:ascii="Adobe Garamond Pro" w:hAnsi="Adobe Garamond Pro" w:cs="Times New Roman"/>
          <w:noProof/>
          <w:sz w:val="24"/>
          <w:szCs w:val="24"/>
          <w:lang w:val="bs-Latn-BA" w:eastAsia="bs-Latn-BA"/>
        </w:rPr>
        <w:pict>
          <v:shape id="_x0000_s1038" type="#_x0000_t202" style="position:absolute;left:0;text-align:left;margin-left:-6.35pt;margin-top:2.55pt;width:239.95pt;height:342.8pt;z-index:251660288;mso-width-relative:margin;mso-height-relative:margin" filled="f" stroked="f">
            <v:textbox style="mso-next-textbox:#_x0000_s1038">
              <w:txbxContent>
                <w:p w:rsidR="00960254" w:rsidRPr="00960254" w:rsidRDefault="008627D2" w:rsidP="00960254">
                  <w:pPr>
                    <w:spacing w:after="0" w:line="240" w:lineRule="auto"/>
                    <w:ind w:right="-22"/>
                    <w:jc w:val="both"/>
                    <w:rPr>
                      <w:rFonts w:ascii="Adobe Garamond Pro" w:hAnsi="Adobe Garamond Pro" w:cs="Times New Roman"/>
                      <w:b/>
                      <w:i/>
                      <w:sz w:val="20"/>
                      <w:szCs w:val="20"/>
                    </w:rPr>
                  </w:pPr>
                  <w:r w:rsidRPr="00960254">
                    <w:rPr>
                      <w:rFonts w:ascii="Adobe Garamond Pro" w:hAnsi="Adobe Garamond Pro" w:cs="Times New Roman"/>
                      <w:b/>
                      <w:i/>
                      <w:sz w:val="20"/>
                      <w:szCs w:val="20"/>
                      <w:lang w:val="hr-BA"/>
                    </w:rPr>
                    <w:t xml:space="preserve">Abstract: </w:t>
                  </w:r>
                  <w:r w:rsidR="00960254" w:rsidRPr="00960254">
                    <w:rPr>
                      <w:rFonts w:ascii="Adobe Garamond Pro" w:hAnsi="Adobe Garamond Pro" w:cs="Times New Roman"/>
                      <w:i/>
                      <w:sz w:val="20"/>
                      <w:szCs w:val="20"/>
                    </w:rPr>
                    <w:t>The European Union has set ambitious and demanding goals: improved the living conditions of people, provide sustainable and inclusive growth, higher level of employment and ensuring the sustainability of public finances and provide support and promote the same on national levels of member states. Although, the Lisbon strategy has proved as European Union's most relevant strategic action and development plan, therefore new reforms need to be reconstructed as Strategy Europe 2020. Therefore, from 2011 Lisbon Strategy replaced Europe 2020 as new strategic framework for economic reforms an EU level. Briefly, we will present the analyse of achievements and weaknesses of the Lisbon strategy and show prospects and challenges of Strategy Europe 2020. Although Bosnia and Herzegovina has no obligation to implement Strategy Europe 2020, European Commission, in order to monitor the implementation of Agreement on Stabilisation and Association Agreement and Interim Agreement has invited BH that in their reform processes monitored these Strategy, therefore highlighted perspectives, challenges and specific recommendations for Bosnia and Herzegovina. With these and similar topics we impact on awareness of effective implementation of reforms in Bosnia and Erzegovina as a prerequisite for successful functioning of the state and obtaining candidate status for EU membership.</w:t>
                  </w:r>
                </w:p>
                <w:p w:rsidR="008627D2" w:rsidRPr="00960254" w:rsidRDefault="008627D2" w:rsidP="00960254">
                  <w:pPr>
                    <w:spacing w:after="0" w:line="240" w:lineRule="auto"/>
                    <w:ind w:right="-22"/>
                    <w:jc w:val="both"/>
                    <w:rPr>
                      <w:rFonts w:ascii="Adobe Garamond Pro" w:hAnsi="Adobe Garamond Pro"/>
                      <w:i/>
                      <w:sz w:val="20"/>
                      <w:szCs w:val="20"/>
                    </w:rPr>
                  </w:pPr>
                </w:p>
              </w:txbxContent>
            </v:textbox>
          </v:shape>
        </w:pict>
      </w:r>
      <w:r>
        <w:rPr>
          <w:rFonts w:ascii="Adobe Garamond Pro" w:hAnsi="Adobe Garamond Pro" w:cs="Times New Roman"/>
          <w:noProof/>
          <w:sz w:val="24"/>
          <w:szCs w:val="24"/>
          <w:lang w:val="bs-Latn-BA" w:eastAsia="bs-Latn-BA"/>
        </w:rPr>
        <w:pict>
          <v:shape id="_x0000_s1037" type="#_x0000_t202" style="position:absolute;left:0;text-align:left;margin-left:239.8pt;margin-top:2.7pt;width:133.8pt;height:249.2pt;z-index:251659264;mso-width-relative:margin;mso-height-relative:margin" stroked="f" strokecolor="white [3212]">
            <v:textbox style="mso-next-textbox:#_x0000_s1037">
              <w:txbxContent>
                <w:p w:rsidR="008627D2" w:rsidRPr="00960254" w:rsidRDefault="008627D2" w:rsidP="008627D2">
                  <w:pPr>
                    <w:spacing w:after="0" w:line="240" w:lineRule="auto"/>
                    <w:rPr>
                      <w:rFonts w:ascii="Adobe Garamond Pro" w:hAnsi="Adobe Garamond Pro"/>
                      <w:b/>
                      <w:i/>
                      <w:sz w:val="20"/>
                      <w:szCs w:val="20"/>
                    </w:rPr>
                  </w:pPr>
                  <w:r w:rsidRPr="00960254">
                    <w:rPr>
                      <w:rFonts w:ascii="Adobe Garamond Pro" w:hAnsi="Adobe Garamond Pro"/>
                      <w:b/>
                      <w:i/>
                      <w:sz w:val="20"/>
                      <w:szCs w:val="20"/>
                    </w:rPr>
                    <w:t xml:space="preserve">Keywords: </w:t>
                  </w:r>
                  <w:r w:rsidR="00960254" w:rsidRPr="00960254">
                    <w:rPr>
                      <w:rFonts w:ascii="Adobe Garamond Pro" w:hAnsi="Adobe Garamond Pro" w:cs="Times New Roman"/>
                      <w:i/>
                      <w:sz w:val="20"/>
                      <w:szCs w:val="20"/>
                    </w:rPr>
                    <w:t>sustainable and inclusive growth, global challenges, common policy, economic, social and territorial cohesion, reform programs</w:t>
                  </w:r>
                </w:p>
                <w:p w:rsidR="008627D2" w:rsidRPr="00960254" w:rsidRDefault="008627D2" w:rsidP="008627D2">
                  <w:pPr>
                    <w:spacing w:after="0" w:line="240" w:lineRule="auto"/>
                    <w:rPr>
                      <w:rFonts w:ascii="Adobe Garamond Pro" w:hAnsi="Adobe Garamond Pro"/>
                      <w:i/>
                      <w:sz w:val="20"/>
                      <w:szCs w:val="20"/>
                    </w:rPr>
                  </w:pPr>
                </w:p>
              </w:txbxContent>
            </v:textbox>
          </v:shape>
        </w:pict>
      </w: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DA7527" w:rsidRPr="00DF5E2C" w:rsidRDefault="002D2430" w:rsidP="00DA7527">
      <w:pPr>
        <w:spacing w:after="0" w:line="240" w:lineRule="auto"/>
        <w:jc w:val="both"/>
        <w:rPr>
          <w:rFonts w:ascii="Adobe Garamond Pro" w:hAnsi="Adobe Garamond Pro" w:cs="Times New Roman"/>
          <w:b/>
        </w:rPr>
      </w:pPr>
      <w:r w:rsidRPr="00DF5E2C">
        <w:rPr>
          <w:rFonts w:ascii="Adobe Garamond Pro" w:hAnsi="Adobe Garamond Pro" w:cs="Times New Roman"/>
          <w:lang w:val="bs-Latn-BA"/>
        </w:rPr>
        <w:br w:type="page"/>
      </w:r>
      <w:r w:rsidR="00DA7527" w:rsidRPr="00DF5E2C">
        <w:rPr>
          <w:rFonts w:ascii="Adobe Garamond Pro" w:hAnsi="Adobe Garamond Pro" w:cs="Times New Roman"/>
          <w:b/>
        </w:rPr>
        <w:lastRenderedPageBreak/>
        <w:t>Strateške perspektive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567"/>
        <w:jc w:val="both"/>
        <w:rPr>
          <w:rFonts w:ascii="Adobe Garamond Pro" w:hAnsi="Adobe Garamond Pro" w:cs="Times New Roman"/>
          <w:sz w:val="20"/>
          <w:szCs w:val="20"/>
        </w:rPr>
      </w:pPr>
      <w:r w:rsidRPr="00DF5E2C">
        <w:rPr>
          <w:rFonts w:ascii="Adobe Garamond Pro" w:hAnsi="Adobe Garamond Pro" w:cs="Times New Roman"/>
          <w:sz w:val="20"/>
          <w:szCs w:val="20"/>
        </w:rPr>
        <w:t>Lisabonska strategija u periodu 2000-2010 godina predstavljala je glavni strateški okvirni program za ekonomski razvoj EU. U procesu provođenja uočena je potreba da se insistira na partnerstvu između institucija EU i država članica. Proces postizanja relativno dobrih rezultata poništila je financijska i ekonomska kriza, na što je Evropska komisija reagirala svojom komunikacijom „Evropa 2020: strategija za održiv i uključiv rast“, sa prikazom novog programa. Polazne osnove Strategije Evropa 2020 obuhvataju elemente koji su uzajamno povezani uz naglasak na tri važna prioriteta:</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pStyle w:val="ListParagraph"/>
        <w:numPr>
          <w:ilvl w:val="0"/>
          <w:numId w:val="41"/>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izlazna strategija iz ekonomske krize, radi suočavanja sa globalnim izazovima</w:t>
      </w:r>
    </w:p>
    <w:p w:rsidR="00DA7527" w:rsidRPr="00DF5E2C" w:rsidRDefault="00DA7527" w:rsidP="00DA7527">
      <w:pPr>
        <w:pStyle w:val="ListParagraph"/>
        <w:numPr>
          <w:ilvl w:val="0"/>
          <w:numId w:val="41"/>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obavezno, kontinuitet u provođenju - nastavak Lisabonske strategije</w:t>
      </w:r>
    </w:p>
    <w:p w:rsidR="00DA7527" w:rsidRPr="00DF5E2C" w:rsidRDefault="00DA7527" w:rsidP="00DA7527">
      <w:pPr>
        <w:pStyle w:val="ListParagraph"/>
        <w:numPr>
          <w:ilvl w:val="0"/>
          <w:numId w:val="41"/>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nova dinamika jače financijske podrške, bolje koordinacije sa ostalim politikama EU i boljom podjelom rada</w:t>
      </w:r>
    </w:p>
    <w:p w:rsidR="00DA7527" w:rsidRPr="00DF5E2C" w:rsidRDefault="00DA7527" w:rsidP="00DA7527">
      <w:pPr>
        <w:pStyle w:val="ListParagraph"/>
        <w:numPr>
          <w:ilvl w:val="0"/>
          <w:numId w:val="41"/>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novi mehanizmi, instrumenti evropskog ekonomskog upravljanja</w:t>
      </w:r>
    </w:p>
    <w:p w:rsidR="00DA7527" w:rsidRPr="00DF5E2C" w:rsidRDefault="00DA7527" w:rsidP="00DA7527">
      <w:pPr>
        <w:pStyle w:val="ListParagraph"/>
        <w:numPr>
          <w:ilvl w:val="0"/>
          <w:numId w:val="41"/>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jačanje konkurentnosti na evropskom nivou</w:t>
      </w:r>
    </w:p>
    <w:p w:rsidR="00DA7527" w:rsidRPr="00DF5E2C" w:rsidRDefault="00DA7527" w:rsidP="00DA7527">
      <w:pPr>
        <w:pStyle w:val="ListParagraph"/>
        <w:numPr>
          <w:ilvl w:val="0"/>
          <w:numId w:val="41"/>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 xml:space="preserve">inteligentan rast (znanje, inovacije, digitalno društvo, mladi), održiv rast (resursno efikasna proizvodnja, industrijska politika, konkurentnost), uključiv rast (bolje učešće na tržištu rada, sposobnosti, borba protiv siromaštva kroz sistem socijalne zaštite). </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ab/>
        <w:t>Evropska komisija je putem nove Strategije Evropa 2020 formulirala pet glavnih, reprezentativnih ciljeva:</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2E55E2">
      <w:pPr>
        <w:pStyle w:val="ListParagraph"/>
        <w:numPr>
          <w:ilvl w:val="0"/>
          <w:numId w:val="37"/>
        </w:numPr>
        <w:spacing w:after="0" w:line="240" w:lineRule="auto"/>
        <w:ind w:left="284" w:hanging="284"/>
        <w:jc w:val="both"/>
        <w:rPr>
          <w:rFonts w:ascii="Adobe Garamond Pro" w:hAnsi="Adobe Garamond Pro" w:cs="Times New Roman"/>
          <w:sz w:val="20"/>
          <w:szCs w:val="20"/>
        </w:rPr>
      </w:pPr>
      <w:r w:rsidRPr="00DF5E2C">
        <w:rPr>
          <w:rFonts w:ascii="Adobe Garamond Pro" w:hAnsi="Adobe Garamond Pro" w:cs="Times New Roman"/>
          <w:sz w:val="20"/>
          <w:szCs w:val="20"/>
        </w:rPr>
        <w:t>Podizanje stope zaposlenosti stanovništva u dobi od 20-64 godine sa 69% na 75% (naglasak je na većem učešću žena, starijih radnika i integraciji migranata kao radne snage)</w:t>
      </w:r>
    </w:p>
    <w:p w:rsidR="00DA7527" w:rsidRPr="00DF5E2C" w:rsidRDefault="00DA7527" w:rsidP="002E55E2">
      <w:pPr>
        <w:pStyle w:val="ListParagraph"/>
        <w:numPr>
          <w:ilvl w:val="0"/>
          <w:numId w:val="37"/>
        </w:numPr>
        <w:spacing w:after="0" w:line="240" w:lineRule="auto"/>
        <w:ind w:left="284" w:hanging="284"/>
        <w:jc w:val="both"/>
        <w:rPr>
          <w:rFonts w:ascii="Adobe Garamond Pro" w:hAnsi="Adobe Garamond Pro" w:cs="Times New Roman"/>
          <w:sz w:val="20"/>
          <w:szCs w:val="20"/>
        </w:rPr>
      </w:pPr>
      <w:r w:rsidRPr="00DF5E2C">
        <w:rPr>
          <w:rFonts w:ascii="Adobe Garamond Pro" w:hAnsi="Adobe Garamond Pro" w:cs="Times New Roman"/>
          <w:sz w:val="20"/>
          <w:szCs w:val="20"/>
        </w:rPr>
        <w:t>Investiranje: izdvajanje 3% BNP-a EU-a za nauku i istraživanje u cilju unaprijeđenja produktivnosti</w:t>
      </w:r>
    </w:p>
    <w:p w:rsidR="00DA7527" w:rsidRPr="00DF5E2C" w:rsidRDefault="00DA7527" w:rsidP="002E55E2">
      <w:pPr>
        <w:pStyle w:val="ListParagraph"/>
        <w:numPr>
          <w:ilvl w:val="0"/>
          <w:numId w:val="37"/>
        </w:numPr>
        <w:spacing w:after="0" w:line="240" w:lineRule="auto"/>
        <w:ind w:left="284" w:hanging="284"/>
        <w:jc w:val="both"/>
        <w:rPr>
          <w:rFonts w:ascii="Adobe Garamond Pro" w:hAnsi="Adobe Garamond Pro" w:cs="Times New Roman"/>
          <w:sz w:val="20"/>
          <w:szCs w:val="20"/>
        </w:rPr>
      </w:pPr>
      <w:r w:rsidRPr="00DF5E2C">
        <w:rPr>
          <w:rFonts w:ascii="Adobe Garamond Pro" w:hAnsi="Adobe Garamond Pro" w:cs="Times New Roman"/>
          <w:sz w:val="20"/>
          <w:szCs w:val="20"/>
        </w:rPr>
        <w:t>Ispunjavanje 20/20/20 klimatskih i energetskih ciljeva (smanjenje količine stakleničkih gasova u atmosferi za 20% u odnosu na 1990 godinu, korištenje 20% energije iz obnovljivih izvora i povećanje energetske efikasnosti za 20%</w:t>
      </w:r>
    </w:p>
    <w:p w:rsidR="00DA7527" w:rsidRPr="00DF5E2C" w:rsidRDefault="00DA7527" w:rsidP="002E55E2">
      <w:pPr>
        <w:pStyle w:val="ListParagraph"/>
        <w:numPr>
          <w:ilvl w:val="0"/>
          <w:numId w:val="37"/>
        </w:numPr>
        <w:spacing w:after="0" w:line="240" w:lineRule="auto"/>
        <w:ind w:left="284" w:hanging="284"/>
        <w:jc w:val="both"/>
        <w:rPr>
          <w:rFonts w:ascii="Adobe Garamond Pro" w:hAnsi="Adobe Garamond Pro" w:cs="Times New Roman"/>
          <w:sz w:val="20"/>
          <w:szCs w:val="20"/>
        </w:rPr>
      </w:pPr>
      <w:r w:rsidRPr="00DF5E2C">
        <w:rPr>
          <w:rFonts w:ascii="Adobe Garamond Pro" w:hAnsi="Adobe Garamond Pro" w:cs="Times New Roman"/>
          <w:sz w:val="20"/>
          <w:szCs w:val="20"/>
        </w:rPr>
        <w:t>Smanjenje broja učenika koji rano prekidaju školovanje sa 15% na ispod 10%, te najmanje 40% mladih sa univerzitetskom diplomom</w:t>
      </w:r>
    </w:p>
    <w:p w:rsidR="00DA7527" w:rsidRPr="00DF5E2C" w:rsidRDefault="00DA7527" w:rsidP="00552896">
      <w:pPr>
        <w:pStyle w:val="ListParagraph"/>
        <w:numPr>
          <w:ilvl w:val="0"/>
          <w:numId w:val="37"/>
        </w:numPr>
        <w:spacing w:after="0" w:line="240" w:lineRule="auto"/>
        <w:ind w:left="284" w:hanging="284"/>
        <w:jc w:val="both"/>
        <w:rPr>
          <w:rFonts w:ascii="Adobe Garamond Pro" w:hAnsi="Adobe Garamond Pro" w:cs="Times New Roman"/>
          <w:sz w:val="20"/>
          <w:szCs w:val="20"/>
        </w:rPr>
      </w:pPr>
      <w:r w:rsidRPr="00DF5E2C">
        <w:rPr>
          <w:rFonts w:ascii="Adobe Garamond Pro" w:hAnsi="Adobe Garamond Pro" w:cs="Times New Roman"/>
          <w:sz w:val="20"/>
          <w:szCs w:val="20"/>
        </w:rPr>
        <w:t>Smanjenje broja osoba koje su u riziku od siromaštva za 20 miliona (smanjiti broj osoba koje žive ispod linije siromaštva pojedine države članice za 25%)</w:t>
      </w:r>
      <w:r w:rsidRPr="00DF5E2C">
        <w:rPr>
          <w:rStyle w:val="FootnoteReference"/>
          <w:rFonts w:ascii="Adobe Garamond Pro" w:hAnsi="Adobe Garamond Pro" w:cs="Times New Roman"/>
          <w:sz w:val="20"/>
          <w:szCs w:val="20"/>
        </w:rPr>
        <w:footnoteReference w:id="2"/>
      </w:r>
    </w:p>
    <w:p w:rsidR="00DA7527" w:rsidRPr="00DF5E2C" w:rsidRDefault="00DA7527" w:rsidP="00DA7527">
      <w:pPr>
        <w:pStyle w:val="ListParagraph"/>
        <w:spacing w:after="0" w:line="240" w:lineRule="auto"/>
        <w:ind w:left="0"/>
        <w:jc w:val="both"/>
        <w:rPr>
          <w:rFonts w:ascii="Adobe Garamond Pro" w:hAnsi="Adobe Garamond Pro" w:cs="Times New Roman"/>
          <w:sz w:val="20"/>
          <w:szCs w:val="20"/>
        </w:rPr>
      </w:pPr>
    </w:p>
    <w:p w:rsidR="00DA7527" w:rsidRPr="00DF5E2C" w:rsidRDefault="00552896" w:rsidP="00DA7527">
      <w:p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ab/>
      </w:r>
      <w:r w:rsidR="00DA7527" w:rsidRPr="00DF5E2C">
        <w:rPr>
          <w:rFonts w:ascii="Adobe Garamond Pro" w:hAnsi="Adobe Garamond Pro" w:cs="Times New Roman"/>
          <w:sz w:val="20"/>
          <w:szCs w:val="20"/>
        </w:rPr>
        <w:t>Ono što razlikuje Lisabonsku strategiju od Strategije Evropa 2020 kada je riječ o državama poput BiH jesu potencijali na jačanju reformskih procesa u ovim državama i prihvatanje prijedloga u vidu vlastitih nacionalnih programa. Politička vizija Evropske unije promovirana Lisabonskom strategijom razlikovala je tri programska ciklusa:</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F5E2C">
      <w:pPr>
        <w:pStyle w:val="ListParagraph"/>
        <w:numPr>
          <w:ilvl w:val="0"/>
          <w:numId w:val="42"/>
        </w:numPr>
        <w:spacing w:after="0" w:line="240" w:lineRule="auto"/>
        <w:rPr>
          <w:rFonts w:ascii="Adobe Garamond Pro" w:hAnsi="Adobe Garamond Pro" w:cs="Times New Roman"/>
          <w:sz w:val="20"/>
          <w:szCs w:val="20"/>
        </w:rPr>
      </w:pPr>
      <w:r w:rsidRPr="00DF5E2C">
        <w:rPr>
          <w:rFonts w:ascii="Adobe Garamond Pro" w:hAnsi="Adobe Garamond Pro" w:cs="Times New Roman"/>
          <w:sz w:val="20"/>
          <w:szCs w:val="20"/>
        </w:rPr>
        <w:t>Lisabon I period od 2000 - 2005. godine</w:t>
      </w:r>
    </w:p>
    <w:p w:rsidR="00DA7527" w:rsidRPr="00DF5E2C" w:rsidRDefault="00DA7527" w:rsidP="00DF5E2C">
      <w:pPr>
        <w:pStyle w:val="ListParagraph"/>
        <w:numPr>
          <w:ilvl w:val="0"/>
          <w:numId w:val="42"/>
        </w:numPr>
        <w:spacing w:after="0" w:line="240" w:lineRule="auto"/>
        <w:rPr>
          <w:rFonts w:ascii="Adobe Garamond Pro" w:hAnsi="Adobe Garamond Pro" w:cs="Times New Roman"/>
          <w:sz w:val="20"/>
          <w:szCs w:val="20"/>
        </w:rPr>
      </w:pPr>
      <w:r w:rsidRPr="00DF5E2C">
        <w:rPr>
          <w:rFonts w:ascii="Adobe Garamond Pro" w:hAnsi="Adobe Garamond Pro" w:cs="Times New Roman"/>
          <w:sz w:val="20"/>
          <w:szCs w:val="20"/>
        </w:rPr>
        <w:t>Lisabon II period od</w:t>
      </w:r>
      <w:r w:rsidR="00DF5E2C">
        <w:rPr>
          <w:rFonts w:ascii="Adobe Garamond Pro" w:hAnsi="Adobe Garamond Pro" w:cs="Times New Roman"/>
          <w:sz w:val="20"/>
          <w:szCs w:val="20"/>
        </w:rPr>
        <w:t xml:space="preserve"> </w:t>
      </w:r>
      <w:r w:rsidRPr="00DF5E2C">
        <w:rPr>
          <w:rFonts w:ascii="Adobe Garamond Pro" w:hAnsi="Adobe Garamond Pro" w:cs="Times New Roman"/>
          <w:sz w:val="20"/>
          <w:szCs w:val="20"/>
        </w:rPr>
        <w:t>2005 - 2007. godine</w:t>
      </w:r>
    </w:p>
    <w:p w:rsidR="00DA7527" w:rsidRPr="00DF5E2C" w:rsidRDefault="00DA7527" w:rsidP="00DF5E2C">
      <w:pPr>
        <w:pStyle w:val="ListParagraph"/>
        <w:numPr>
          <w:ilvl w:val="0"/>
          <w:numId w:val="42"/>
        </w:numPr>
        <w:spacing w:after="0" w:line="240" w:lineRule="auto"/>
        <w:rPr>
          <w:rFonts w:ascii="Adobe Garamond Pro" w:hAnsi="Adobe Garamond Pro" w:cs="Times New Roman"/>
          <w:sz w:val="20"/>
          <w:szCs w:val="20"/>
        </w:rPr>
      </w:pPr>
      <w:r w:rsidRPr="00DF5E2C">
        <w:rPr>
          <w:rFonts w:ascii="Adobe Garamond Pro" w:hAnsi="Adobe Garamond Pro" w:cs="Times New Roman"/>
          <w:sz w:val="20"/>
          <w:szCs w:val="20"/>
        </w:rPr>
        <w:t>Lisabon III period od</w:t>
      </w:r>
      <w:r w:rsidR="00DF5E2C">
        <w:rPr>
          <w:rFonts w:ascii="Adobe Garamond Pro" w:hAnsi="Adobe Garamond Pro" w:cs="Times New Roman"/>
          <w:sz w:val="20"/>
          <w:szCs w:val="20"/>
        </w:rPr>
        <w:t xml:space="preserve"> </w:t>
      </w:r>
      <w:r w:rsidRPr="00DF5E2C">
        <w:rPr>
          <w:rFonts w:ascii="Adobe Garamond Pro" w:hAnsi="Adobe Garamond Pro" w:cs="Times New Roman"/>
          <w:sz w:val="20"/>
          <w:szCs w:val="20"/>
        </w:rPr>
        <w:t>2008 - 2010. godine i uspostavljanje instrumenta zaštite država članica od negativnih efekata globalnih promjena u vidu Evropskog fonda za prilagođavanje globalizaciji</w:t>
      </w:r>
      <w:r w:rsidRPr="00DF5E2C">
        <w:rPr>
          <w:rStyle w:val="FootnoteReference"/>
          <w:rFonts w:ascii="Adobe Garamond Pro" w:hAnsi="Adobe Garamond Pro" w:cs="Times New Roman"/>
          <w:sz w:val="20"/>
          <w:szCs w:val="20"/>
        </w:rPr>
        <w:footnoteReference w:id="3"/>
      </w:r>
      <w:r w:rsidRPr="00DF5E2C">
        <w:rPr>
          <w:rFonts w:ascii="Adobe Garamond Pro" w:hAnsi="Adobe Garamond Pro" w:cs="Times New Roman"/>
          <w:sz w:val="20"/>
          <w:szCs w:val="20"/>
        </w:rPr>
        <w:t xml:space="preserve">. </w:t>
      </w:r>
    </w:p>
    <w:p w:rsidR="00DA7527" w:rsidRPr="00DF5E2C" w:rsidRDefault="00DA7527" w:rsidP="00DA7527">
      <w:pPr>
        <w:pStyle w:val="ListParagraph"/>
        <w:spacing w:after="0" w:line="240" w:lineRule="auto"/>
        <w:ind w:left="0"/>
        <w:jc w:val="both"/>
        <w:rPr>
          <w:rFonts w:ascii="Adobe Garamond Pro" w:hAnsi="Adobe Garamond Pro" w:cs="Times New Roman"/>
          <w:sz w:val="20"/>
          <w:szCs w:val="20"/>
        </w:rPr>
      </w:pPr>
    </w:p>
    <w:p w:rsidR="00DA7527" w:rsidRPr="00DF5E2C" w:rsidRDefault="00552896" w:rsidP="00DA7527">
      <w:p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ab/>
      </w:r>
      <w:r w:rsidR="00DA7527" w:rsidRPr="00DF5E2C">
        <w:rPr>
          <w:rFonts w:ascii="Adobe Garamond Pro" w:hAnsi="Adobe Garamond Pro" w:cs="Times New Roman"/>
          <w:sz w:val="20"/>
          <w:szCs w:val="20"/>
        </w:rPr>
        <w:t xml:space="preserve">Snažno se insistira na daljnjoj integraciji između nacionalnog nivoa i nivoa EU kada je riječ o izazovima poput globalizacije, klimatskih promjena, energetike, održivog razvoja, konkurentnosti, kao važnom strateškom cilju. </w:t>
      </w:r>
    </w:p>
    <w:p w:rsidR="00552896" w:rsidRPr="00DF5E2C" w:rsidRDefault="00552896"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Krajnji cilj i Lisabonske strategije i Strategije Evropa 2020 jeste potaknuti društveni i ekonomski razvoj kako bi se unaprijedila konkurentnost Evropske unije, a ujedno i spremnost na suočavanje sa globalnim ekonomskim izazovima 21. stoljeća. Iako su preporuke iz strategija neobavezujuće treba ih prepoznati kao dio pravne stečevine i kao pristup ka društvenim i ekonomskim reformama. Važni prioriteti u smislu vodećih inicijativa Strategije Evropa 2020 su unaprijeđenje istraživačkih i inovacijskih politika, povećanje ulaganja u tim sektorima uz vođenje računa o strukturnim problemima karakterističnim za svaku zemlju ponaosob. Mogući efekti nove komplementarne strategije nalaze se u području pravilnog provođenja politike tržišne konkurencije, poboljšanju uslova za poslovanje i potrošnju, te modernizaciju industrije. Ističe se potreba i za dovršenjem liberalizacije tržišta usluga i jačanjem položaja potrošača. Samo neke od poruka koje su usmjerene prema državama koje u svojim planovima i programima prate ovu strategiju su sljedeće: pružiti podršku sektorima koji su u stanju opstati na tržištu, povećati podršku za istraživanje i razvoj, zaštitu okoliša, malo i srednje poduzetništvo, voditi računa o stepenu otvorenosti tržišta, omogućiti više fleksibilnosti pri ulasku na tržište, uklanjati prepreke u smislu suvišnih ovlaštenja i dozvola.</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 xml:space="preserve">Kada je riječ o socijalnoj politici u Evropskoj uniji treba priznati da je socijalna dimenzija postala jedna od karika razvoja EU-a. U okviru iste ističe se načelo supsidijariteta </w:t>
      </w:r>
      <w:r w:rsidRPr="00DF5E2C">
        <w:rPr>
          <w:rFonts w:ascii="Adobe Garamond Pro" w:hAnsi="Adobe Garamond Pro" w:cs="Times New Roman"/>
          <w:sz w:val="20"/>
          <w:szCs w:val="20"/>
        </w:rPr>
        <w:lastRenderedPageBreak/>
        <w:t>na osnovu kojeg su mjere socijalne politike u nadležnosti država članica. Novi koncept socijalne politike daje prednost širim ekonomskim ciljevima: ekonomskom rastu i zapošljavanju. Strategija Evropa 2020 u smislu socijalne politike čini se da ide korak dalje, ističući važnost uključivog rasta, stvaranja ekonomije s visokim stepenom zaposlenosti i osiguranje socijalne i teritorijalne kohezije. Teret odgovornosti je na državama članicama, na stvaranju programa za rizične grupe, korištenju strukturnih fondova u cilju socijalne inovacije. Analize pokazuju slab trend socijalne dimenzije u predpristupnom procesu, da bi nakon pristupanja u punopravno članstvo nastupala faza djelimičnog usklađivanja socijalnih politika novih članica sa socijalnom politikom EU. Usklađivanje socijalne politike u BiH sa evropskim standardima odvija se po dinamici koja daje još uvijek prednost pitanjima ljudskih prava, jednakosti spolova, pravima nacionalnih manjina, dok su druga ključna pitanja socijalne politike, borba protiv siromaštva, pitanje socijalne isključenosti, nezaposlenost, penziono i zdravstveno osiguranje još uvijek zanemarena. Može se konstatirati da su rijetko države politički opredjeljene da izvrše promjene u oblasti socijalne zaštite, rješenje bi se moglo tražiti u zamjeni trenutno dominantnog načela supsidijariteta sa jedinstvenim socijalnim programom EU-a. Socijalna ekonomija</w:t>
      </w:r>
      <w:r w:rsidRPr="00DF5E2C">
        <w:rPr>
          <w:rStyle w:val="FootnoteReference"/>
          <w:rFonts w:ascii="Adobe Garamond Pro" w:hAnsi="Adobe Garamond Pro" w:cs="Times New Roman"/>
          <w:sz w:val="20"/>
          <w:szCs w:val="20"/>
        </w:rPr>
        <w:footnoteReference w:id="4"/>
      </w:r>
      <w:r w:rsidRPr="00DF5E2C">
        <w:rPr>
          <w:rFonts w:ascii="Adobe Garamond Pro" w:hAnsi="Adobe Garamond Pro" w:cs="Times New Roman"/>
          <w:sz w:val="20"/>
          <w:szCs w:val="20"/>
        </w:rPr>
        <w:t xml:space="preserve"> prepoznata je i od strane Evropske unije kao važan razvojni faktor usmjeren prema vrijednostima, a ne prema profitu i služi za korekcije neuravnoteženosti slobodnog tržišta. Aktivnosti socijalne ekonomije posebno su usmjerene na mala i srednja preduzeća i politiku zapošljavanja. </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U institucionalnom smislu na promociji socijalne ekonomije posebno radi Evropski ekonomski i socijalni odbor, koji je unutar svoje Grupacije III uspostavio posebnu kategoriju socijalne ekonomije. U okviru Evropskog parlamenta, također djeluje interna grupacija „socijalna ekonomija“. Analize su pokazale postojanje nedovoljne profiliranosti socijalne ekonomije u sklopu ranije Lisabonske strategije što je rezultiralo jednim vidom stagnacije u razvoju tog koncepta na nivou EU (neusvajanje statuta zajedničkih društava, nedostajanje statističkih upisnika preduzeća, nedostajanje odredbi za porezne olakšice za aktere u toj oblasti). Provođenjem Strategije Evropa 2020 aktivnosti na jačanju socijalne ekonomije na nivou EU trebale bi se intenzivirati. Tome u prilog ide i činjenica da Strategija Evropa 2020 daje daleko veću važnost temama poput obrazovanja, održivog razvoja, socijalne uključenosti i borbe protiv siromaštva koje su kao teme koncepcijski vezane za socijalnu ekonomiju. Položaj socijalne ekonomije u BiH zahtijeva snažan angažman na stvaranju okruženja za razvoj civilnog društva, te za izgradnju institucionalne i pravne strukture.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 xml:space="preserve">Politika zaštite okoline postala je dijelom svih javnih politika i važan segment institucionalnog i zakonskog okvira EU-a. Predposljednji šesti akcijski program zaštite okoliša </w:t>
      </w:r>
      <w:r w:rsidRPr="00DF5E2C">
        <w:rPr>
          <w:rFonts w:ascii="Adobe Garamond Pro" w:hAnsi="Adobe Garamond Pro" w:cs="Times New Roman"/>
          <w:sz w:val="20"/>
          <w:szCs w:val="20"/>
        </w:rPr>
        <w:lastRenderedPageBreak/>
        <w:t xml:space="preserve">obuhvatio je period od 2001. do 2012. godine i uz Protokol iz Kyota i Lisabonsku strategiju činio je savremeno evropsko poimanje zaštite okoliša. Obim zaštite okoliša prema Lisabonskoj strategiji smatrao se neuspješnim, kako na nivou Unije, tako i na nacionalnim nivoima. Glavnim uzrocima neuspjeha mogu se smatrati: univerzalnost integriranih smjernica za sve države članice, zanemarajući razlike u razvijenosti i specifičnosti problema, kao i </w:t>
      </w:r>
      <w:r w:rsidRPr="00DF5E2C">
        <w:rPr>
          <w:rFonts w:ascii="Adobe Garamond Pro" w:hAnsi="Adobe Garamond Pro" w:cs="Times New Roman"/>
          <w:i/>
          <w:sz w:val="20"/>
          <w:szCs w:val="20"/>
        </w:rPr>
        <w:t>„soft law“</w:t>
      </w:r>
      <w:r w:rsidRPr="00DF5E2C">
        <w:rPr>
          <w:rStyle w:val="FootnoteReference"/>
          <w:rFonts w:ascii="Adobe Garamond Pro" w:hAnsi="Adobe Garamond Pro" w:cs="Times New Roman"/>
          <w:i/>
          <w:sz w:val="20"/>
          <w:szCs w:val="20"/>
        </w:rPr>
        <w:footnoteReference w:id="5"/>
      </w:r>
      <w:r w:rsidRPr="00DF5E2C">
        <w:rPr>
          <w:rFonts w:ascii="Adobe Garamond Pro" w:hAnsi="Adobe Garamond Pro" w:cs="Times New Roman"/>
          <w:sz w:val="20"/>
          <w:szCs w:val="20"/>
        </w:rPr>
        <w:t xml:space="preserve"> karakter strategije, zbog čega neispunjavanje iste ne nosi nikakve pravne posljedice. Kao što je poznato, Lisabonska strategija je od 2011. godine prestavši biti na snazi, ustupila mjesto Strategiji Evropa 2020 koja uvodi konkretnije, kvantificirane ciljeve (mjere 20-20-20 za smanjenje klimatskih promjena) uz manji broj pojednostavljenih integriranih smjernica. U međuvremenu, Evropska komisija donijela je sedmi akcijski program zaštite okoliša pod radnim nazivom: „Živjeti dobro, u okviru mogućnosti našeg planeta“, koji pruža okvir politike zaštite okoliša do 2020 godine i koji je stupio na snagu 2013. godine. Program obuhvata sektor energetike i to energetsku efikasnost i obnovljive izvore energije, korištenje otpada kao sirovine i upravljanje vodama. U cilju ostvarenja napretka Evropska komisija je predložila vodeće inicijative Strategije Evropa 2020 i klasificirala ih u okviru tri prioriteta: </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Prvi prioritet obuhvata sljedeće inicijative:</w:t>
      </w:r>
    </w:p>
    <w:p w:rsidR="00DA7527" w:rsidRPr="00DF5E2C" w:rsidRDefault="00DA7527" w:rsidP="00552896">
      <w:pPr>
        <w:pStyle w:val="ListParagraph"/>
        <w:numPr>
          <w:ilvl w:val="0"/>
          <w:numId w:val="43"/>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Unija inovacija: usklađivanje istraživanja, razvoja i inovacija sa novim izazovima društva (od inovativne ideje preko proizvoda i usluga do novih radnih mjesta)</w:t>
      </w:r>
    </w:p>
    <w:p w:rsidR="00DA7527" w:rsidRPr="00DF5E2C" w:rsidRDefault="00DA7527" w:rsidP="00552896">
      <w:pPr>
        <w:pStyle w:val="ListParagraph"/>
        <w:numPr>
          <w:ilvl w:val="0"/>
          <w:numId w:val="43"/>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Mladost u pokretu: poboljšavanje kvalitete obrazovanja i usavršavanja u EU, pristup mladih i obrazovanih tržištu rada</w:t>
      </w:r>
    </w:p>
    <w:p w:rsidR="00DA7527" w:rsidRPr="00DF5E2C" w:rsidRDefault="00DA7527" w:rsidP="00552896">
      <w:pPr>
        <w:pStyle w:val="ListParagraph"/>
        <w:numPr>
          <w:ilvl w:val="0"/>
          <w:numId w:val="43"/>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Evropska digitalna agenda: unaprijeđenje ekonomske i socijalne koristi na digitalnom unutarnjem tržištu koje je svima dostupno</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Drugi prioritet obuhvata dvije inicijative:</w:t>
      </w:r>
    </w:p>
    <w:p w:rsidR="00DA7527" w:rsidRPr="00DF5E2C" w:rsidRDefault="00DA7527" w:rsidP="00552896">
      <w:pPr>
        <w:pStyle w:val="ListParagraph"/>
        <w:numPr>
          <w:ilvl w:val="0"/>
          <w:numId w:val="44"/>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Resursno efikasna Evropa: unaprijeđenje konkurentnosti i energetske sigurnosti, te promocija energetske efikasnosti</w:t>
      </w:r>
    </w:p>
    <w:p w:rsidR="00DA7527" w:rsidRPr="00DF5E2C" w:rsidRDefault="00DA7527" w:rsidP="00552896">
      <w:pPr>
        <w:pStyle w:val="ListParagraph"/>
        <w:numPr>
          <w:ilvl w:val="0"/>
          <w:numId w:val="44"/>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Industrijska politika za eru globalizacije: kreiranje okvira za industrijsku politiku sposobnu da od pristupa sirovinama prema uslugama dorade i održavanja unapređuje poslovni ambijent, posebno za srednja i mala preduzeća</w:t>
      </w:r>
    </w:p>
    <w:p w:rsidR="00DA7527" w:rsidRPr="00DF5E2C" w:rsidRDefault="00DA7527" w:rsidP="00552896">
      <w:pPr>
        <w:pStyle w:val="ListParagraph"/>
        <w:numPr>
          <w:ilvl w:val="0"/>
          <w:numId w:val="44"/>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Treći prioritet obuhvata inicijative kao što su:</w:t>
      </w:r>
    </w:p>
    <w:p w:rsidR="00DA7527" w:rsidRPr="00DF5E2C" w:rsidRDefault="00DA7527" w:rsidP="00552896">
      <w:pPr>
        <w:pStyle w:val="ListParagraph"/>
        <w:numPr>
          <w:ilvl w:val="0"/>
          <w:numId w:val="44"/>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Agenda za nove vještine i poslove u okviru koje se stvaraju uslovi za moderniziranje tržišta rada, povećavanje stope zapošljavanja i osiguranje funkcioniranja socijalnih modela</w:t>
      </w:r>
    </w:p>
    <w:p w:rsidR="00DA7527" w:rsidRPr="00DF5E2C" w:rsidRDefault="00DA7527" w:rsidP="00552896">
      <w:pPr>
        <w:pStyle w:val="ListParagraph"/>
        <w:numPr>
          <w:ilvl w:val="0"/>
          <w:numId w:val="44"/>
        </w:num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Evropska platforma protiv siromaštva: od isključenosti do kohezije i aktivnog sudjelovanja u društvu.</w:t>
      </w:r>
    </w:p>
    <w:p w:rsidR="00DA7527" w:rsidRDefault="00DA7527" w:rsidP="00DA7527">
      <w:pPr>
        <w:spacing w:after="0" w:line="240" w:lineRule="auto"/>
        <w:jc w:val="both"/>
        <w:rPr>
          <w:rFonts w:ascii="Adobe Garamond Pro" w:hAnsi="Adobe Garamond Pro" w:cs="Times New Roman"/>
          <w:b/>
          <w:sz w:val="20"/>
          <w:szCs w:val="20"/>
          <w:shd w:val="clear" w:color="auto" w:fill="FFFFFF" w:themeFill="background1"/>
        </w:rPr>
      </w:pPr>
    </w:p>
    <w:p w:rsidR="00DF5E2C" w:rsidRPr="00DF5E2C" w:rsidRDefault="00DF5E2C" w:rsidP="00DA7527">
      <w:pPr>
        <w:spacing w:after="0" w:line="240" w:lineRule="auto"/>
        <w:jc w:val="both"/>
        <w:rPr>
          <w:rFonts w:ascii="Adobe Garamond Pro" w:hAnsi="Adobe Garamond Pro" w:cs="Times New Roman"/>
          <w:b/>
          <w:sz w:val="20"/>
          <w:szCs w:val="20"/>
          <w:shd w:val="clear" w:color="auto" w:fill="FFFFFF" w:themeFill="background1"/>
        </w:rPr>
      </w:pPr>
    </w:p>
    <w:p w:rsidR="00DA7527" w:rsidRPr="00DF5E2C" w:rsidRDefault="00DA7527" w:rsidP="00DA7527">
      <w:pPr>
        <w:spacing w:after="0" w:line="240" w:lineRule="auto"/>
        <w:jc w:val="both"/>
        <w:rPr>
          <w:rFonts w:ascii="Adobe Garamond Pro" w:hAnsi="Adobe Garamond Pro" w:cs="Times New Roman"/>
          <w:b/>
        </w:rPr>
      </w:pPr>
      <w:r w:rsidRPr="00DF5E2C">
        <w:rPr>
          <w:rFonts w:ascii="Adobe Garamond Pro" w:hAnsi="Adobe Garamond Pro" w:cs="Times New Roman"/>
          <w:b/>
          <w:shd w:val="clear" w:color="auto" w:fill="FFFFFF" w:themeFill="background1"/>
        </w:rPr>
        <w:lastRenderedPageBreak/>
        <w:t>Perspektive, izazovi i posebne preporuke za Bosnu i Hercegovinu</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Kao što je poznato, glavni vanjsko-politički cilj oko kojeg su se složili politički predstavnici u BiH su integracioni procesi prema Evropskoj uniji. Vjerovalo se da će Sporazum o stabilizaciji i pridruživanju kao ugovorni odnos između Bosne i Hercegovine i Evropske unije ojačati kapacitet djelovanja BiH kao organizovane, funkcionalne države. Predmetni Sporazum je ratificiran u 2011. godini, ali kao što je poznato još uvijek nije stupio na snagu. Izostanak ratifikacije, spriječava stupanje SSP-a na pravnu snagu što ima za posljedicu nemogućnost podnošenja zahtjeva za sticanje statusa kandidata za članstvo u EU. Neispunjavanje ključnih političkih kriterija drži Bosnu i Hercegovinu već četrnaestu godinu u statusu potencijalnog kandidata za članstvo u EU</w:t>
      </w:r>
      <w:r w:rsidRPr="00DF5E2C">
        <w:rPr>
          <w:rStyle w:val="FootnoteReference"/>
          <w:rFonts w:ascii="Adobe Garamond Pro" w:hAnsi="Adobe Garamond Pro" w:cs="Times New Roman"/>
          <w:sz w:val="20"/>
          <w:szCs w:val="20"/>
        </w:rPr>
        <w:footnoteReference w:id="6"/>
      </w:r>
      <w:r w:rsidRPr="00DF5E2C">
        <w:rPr>
          <w:rFonts w:ascii="Adobe Garamond Pro" w:hAnsi="Adobe Garamond Pro" w:cs="Times New Roman"/>
          <w:sz w:val="20"/>
          <w:szCs w:val="20"/>
        </w:rPr>
        <w:t>. Složenost pravnog sistema u Bosni i Hercegovini dolazi još više do izražaja zbog slabog kapaciteta funkcionisanja institucija koje bi trebale koordinirati oko pitanja u vezi sa usklađivanjem zakonodavstva i primjeni zakonskih rješenja. Prilično slaba koordinacija između različitih nadležnih institucija uzrokuje izostanak razmjene podataka i analize, strateškog planiranja u izvršenju zadataka na različitim nivoima. U tom smislu, analizom slabosti političkog i pravnog ambijenta (slaba vladavina prava, neujednačavanje prava) dolazi se do analize ekonomskog ambijenta i poslovnog okruženja u kojem još uvijek imamo povećanje javnog sektora u odnosu na privatni sektor.</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 xml:space="preserve">Kako bi se pratila Strategija Evropa 2020 sa pomenuta tri prioriteta: inteligentan, održiv i uključiv rast neophodno je pratiti ekonomske kriterije postojanja funkcionalne tržišne ekonomije i bitnih elemenata ekonomske politike u BiH. U pogledu ekonomske integracije EU je najveći trgovinski partner Bosne i Hercegovine. Njen udio u ukupnom izvozu je 59,8%, a udio u uvozu je 47,3%. Drugi glavni trgovinski partner Bosne i Hercegovine su države članice CEFTA-e čiji je udio 28,7% ukupnog izvoza i 22,2% ukupnog uvoza. Ukupno analizirajući, nivo trgovinske povezanosti Bosne i Hercegovine sa EU koji je i bio visok, još je dodatno povećan. </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Ohrabruje postojanje dogovora o srednjoročnom fiskalnom okviru za BiH u uslovima korištenja instrumenta makrofinancijske pomoći EU, vodeći računa o slabosti konsenzusa o ekonomskoj i fiskalnoj politici</w:t>
      </w:r>
      <w:r w:rsidRPr="00DF5E2C">
        <w:rPr>
          <w:rStyle w:val="FootnoteReference"/>
          <w:rFonts w:ascii="Adobe Garamond Pro" w:hAnsi="Adobe Garamond Pro" w:cs="Times New Roman"/>
          <w:sz w:val="20"/>
          <w:szCs w:val="20"/>
        </w:rPr>
        <w:footnoteReference w:id="7"/>
      </w:r>
      <w:r w:rsidRPr="00DF5E2C">
        <w:rPr>
          <w:rFonts w:ascii="Adobe Garamond Pro" w:hAnsi="Adobe Garamond Pro" w:cs="Times New Roman"/>
          <w:sz w:val="20"/>
          <w:szCs w:val="20"/>
        </w:rPr>
        <w:t xml:space="preserve">. Monetarna politika Centralne banke kao što je poznato odvija se u okvirima Valutnog odbora (vezanost konvertibilne marke za euro) što je osnov za pouzdanost i kredibilitet. U tom smislu postavke monetarne politike su i dalje nepromjenjene. Valutni odbor je osnov za monetarnu i financijsku stabilnost i održavanje okruženja niske inflacije. Ono što ugrožava makroekonomsku stabilnost jeste fiskalni deficit, </w:t>
      </w:r>
      <w:r w:rsidRPr="00DF5E2C">
        <w:rPr>
          <w:rFonts w:ascii="Adobe Garamond Pro" w:hAnsi="Adobe Garamond Pro" w:cs="Times New Roman"/>
          <w:sz w:val="20"/>
          <w:szCs w:val="20"/>
        </w:rPr>
        <w:lastRenderedPageBreak/>
        <w:t>vanjski debalans i veoma visoka nezaposlenost. Kao jedan od važnih ciljeva Strategije Evropa 2020 istaknuto je smanjenje nezaposlenosti, koja je u Bosni i Hercegovini u 2013. godini iznosila visokih 27,5%</w:t>
      </w:r>
      <w:r w:rsidRPr="00DF5E2C">
        <w:rPr>
          <w:rStyle w:val="FootnoteReference"/>
          <w:rFonts w:ascii="Adobe Garamond Pro" w:hAnsi="Adobe Garamond Pro" w:cs="Times New Roman"/>
          <w:sz w:val="20"/>
          <w:szCs w:val="20"/>
        </w:rPr>
        <w:footnoteReference w:id="8"/>
      </w:r>
      <w:r w:rsidRPr="00DF5E2C">
        <w:rPr>
          <w:rFonts w:ascii="Adobe Garamond Pro" w:hAnsi="Adobe Garamond Pro" w:cs="Times New Roman"/>
          <w:sz w:val="20"/>
          <w:szCs w:val="20"/>
        </w:rPr>
        <w:t>. S tim u vezi treba istaći kako je u prethodnih četiri godine urađeno malo na provođenju Strategije zapošljavanja Bosne i Hercegovine 2010-2014, koja je usvojena Odlukom Vijeća ministara Bosne i Hercegovine. Naime, cilj iste je bio promovirati produktivnije zapošljavanje i dostojan rad u BiH i za četvorogodišnji period povećati stopu zaposlenosti na godišnjem nivou za 2%, zaposlenost žena povećati na godišnjem nivou za 2,5%, te smanjiti nezaposlenost mladih do 2014. godine na 30%, a sve u skladu sa Konvencijom o politici zapošljavanja koju je Bosna i Hercegovina ratificirala. Jedna od inicijativa Strategije je angažman mladih ljudi na tržištu rada, a nezaposlenost među mladima je posebno visoka u Bosni i Hercegovini. Stoga, ohrabruju inicijative koje uključuju izmjene i dopune Zakona o privrednim društvima</w:t>
      </w:r>
      <w:r w:rsidRPr="00DF5E2C">
        <w:rPr>
          <w:rStyle w:val="FootnoteReference"/>
          <w:rFonts w:ascii="Adobe Garamond Pro" w:hAnsi="Adobe Garamond Pro" w:cs="Times New Roman"/>
          <w:sz w:val="20"/>
          <w:szCs w:val="20"/>
        </w:rPr>
        <w:footnoteReference w:id="9"/>
      </w:r>
      <w:r w:rsidRPr="00DF5E2C">
        <w:rPr>
          <w:rFonts w:ascii="Adobe Garamond Pro" w:hAnsi="Adobe Garamond Pro" w:cs="Times New Roman"/>
          <w:sz w:val="20"/>
          <w:szCs w:val="20"/>
        </w:rPr>
        <w:t xml:space="preserve"> koje idu u pravcu pojednostavljenja procedure registracije privrednih društava, smanjenje broja potrebnih postupaka i troškova osnivanja privrednih društava, snižavanjem zakonskog minimuma osnivačkog kapitala i pružanje uslova za pretvaranje poreskih dugovanja u udio u vlasništvu privrednog društva. Ovakve i slične inicijative mogu ohrabriti mlade obrazovane ljude da se lakše odluče za pristup na tržište i poboljšaju stanje u zapošljavanju mladih ljudi. Aktivne politike zapošljavanja ustupaju mjesto pasivnim mjerama (npr. plaćanje zrdravstvenog osiguranja za nezaposlene) što za posljedicu ima nedostatak novčanih sredstava kojim bi se podržala radna mjesta. Nadležne službe koje trebaju uzeti aktivno učešće u uključivanju nezaposlenih na tržište rada u BiH djeluju više kao socijalne službe.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 xml:space="preserve">U pogledu inicijative povećanja efikasnosti obrazovnog sistema i dalje postoji ograničen napredak u ovoj oblasti. Ono što je naročito karakteristično kao slabost u bh sistemu obrazovanja je prisustvo neodgovarajućih i zastarjelih nastavnih planova i programa u okviru srednjeg stručnog obrazovanja, usavršavanje nastavnog osoblja u smislu kvaliteta i kompetentnosti, kao i nesklad između kvalifikacija potrebnih na tržištu rada i profila diplomiranih mladih ljudi u sistemu obrazovanja. Ograničenost u strukturnom smislu i slabi izlazni rezultati sistema obrazovanja i učenja odražavaju se na funkcioniranje tržišta rada. </w:t>
      </w:r>
    </w:p>
    <w:p w:rsidR="00DF5E2C" w:rsidRPr="00DF5E2C" w:rsidRDefault="00DF5E2C" w:rsidP="00DA7527">
      <w:pPr>
        <w:spacing w:after="0" w:line="240" w:lineRule="auto"/>
        <w:ind w:firstLine="708"/>
        <w:jc w:val="both"/>
        <w:rPr>
          <w:rFonts w:ascii="Adobe Garamond Pro" w:hAnsi="Adobe Garamond Pro" w:cs="Times New Roman"/>
          <w:sz w:val="20"/>
          <w:szCs w:val="20"/>
        </w:rPr>
      </w:pPr>
    </w:p>
    <w:p w:rsidR="00DA7527" w:rsidRPr="00DF5E2C" w:rsidRDefault="00552896" w:rsidP="00DA7527">
      <w:p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ab/>
      </w:r>
      <w:r w:rsidR="00DA7527" w:rsidRPr="00DF5E2C">
        <w:rPr>
          <w:rFonts w:ascii="Adobe Garamond Pro" w:hAnsi="Adobe Garamond Pro" w:cs="Times New Roman"/>
          <w:sz w:val="20"/>
          <w:szCs w:val="20"/>
        </w:rPr>
        <w:t>Približavanje evropskim standardima u oblasti obrazovanja trebalo bi preći u narednu, višu fazu i to većim angažmanom saradnje u okviru Programa Horizon 2020</w:t>
      </w:r>
      <w:r w:rsidR="00DA7527" w:rsidRPr="00DF5E2C">
        <w:rPr>
          <w:rStyle w:val="FootnoteReference"/>
          <w:rFonts w:ascii="Adobe Garamond Pro" w:hAnsi="Adobe Garamond Pro" w:cs="Times New Roman"/>
          <w:sz w:val="20"/>
          <w:szCs w:val="20"/>
        </w:rPr>
        <w:footnoteReference w:id="10"/>
      </w:r>
      <w:r w:rsidR="00DA7527" w:rsidRPr="00DF5E2C">
        <w:rPr>
          <w:rFonts w:ascii="Adobe Garamond Pro" w:hAnsi="Adobe Garamond Pro" w:cs="Times New Roman"/>
          <w:sz w:val="20"/>
          <w:szCs w:val="20"/>
        </w:rPr>
        <w:t xml:space="preserve">. U </w:t>
      </w:r>
      <w:r w:rsidR="00DA7527" w:rsidRPr="00DF5E2C">
        <w:rPr>
          <w:rFonts w:ascii="Adobe Garamond Pro" w:hAnsi="Adobe Garamond Pro" w:cs="Times New Roman"/>
          <w:sz w:val="20"/>
          <w:szCs w:val="20"/>
        </w:rPr>
        <w:lastRenderedPageBreak/>
        <w:t>pogledu unaprijeđenja produktivnosti investiranje za nauku i istraživanje u Evropskoj uniji je već na nivou 1,9% BNP-a sa postavljenim ciljem od 3% BNP-a provođenjem Strategije Evropa 2020, dok su ukupna izdvajanja za nauku i istraživanje u BiH na nivou od 0,1% BNP-a</w:t>
      </w:r>
      <w:r w:rsidR="00DA7527" w:rsidRPr="00DF5E2C">
        <w:rPr>
          <w:rStyle w:val="FootnoteReference"/>
          <w:rFonts w:ascii="Adobe Garamond Pro" w:hAnsi="Adobe Garamond Pro" w:cs="Times New Roman"/>
          <w:sz w:val="20"/>
          <w:szCs w:val="20"/>
        </w:rPr>
        <w:footnoteReference w:id="11"/>
      </w:r>
      <w:r w:rsidR="00DA7527" w:rsidRPr="00DF5E2C">
        <w:rPr>
          <w:rFonts w:ascii="Adobe Garamond Pro" w:hAnsi="Adobe Garamond Pro" w:cs="Times New Roman"/>
          <w:sz w:val="20"/>
          <w:szCs w:val="20"/>
        </w:rPr>
        <w:t xml:space="preserve">. </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Analiza stanja u Bosni i Hercegovini u odnosu na inicijativu digitalni program za Evropu ukazuje na ostvaren mali napredak prema konkurentnom tržištu telekomunikacija. Širokopojasni pristup internetu povećan je neznatno i nalazi se na više nego skromnih 11,2% u odnosu na značajnih 72% koliki je prosjek u Evropskoj uniji. Informatičko infrastrukturno zaostajanje procjenjuje se na osnovu postojanja kvalitetne konekcije, umrežavanja optičkim kablovima, uvođenje naučnih aplikacija radi povezivanja u zajedničku mrežu servera, novih računarskih mreža što je važno za proces obrazovanja i savremene postupke istraživanja.</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Važan izazov za Bosnu i Hercegovinu je uređenje socijalnog zakonodavstva i bolje provođenje zakona u oblasti socijalne politike. Radi se o visokim stopama doprinosa za socijalno osiguranje, visokim porezima na plate i lošem usmjeravanju naknada koje su utemeljene na pravima. Kada je riječ o socijalno ugroženim osobama ostvarenje prava vezuje se za status, a ne za potrebe. Zakonodavni okvir za unapređenje sistema socijalne zaštite trebao bi rezultirati uvođenjem minimalnog nivoa socijalnih povlastica. Apsurd Bosne i Hercegovine ogleda se u činjenici da je sistem socijalne zaštite jedan od onih koji je neefikasan, iako postoji relativno visok nivo javnih rashoda. Pitanja problema siromaštva, socijalne isključenosti, visoke nezaposlenosti, u okviru koje naročito nezaposlenosti mladih, nivo obuhvaćenosti nezaposlenih lica naknadama za nezaposlenost snažno opterećuju ekonomiju i društvo Bosne i Hercegovine</w:t>
      </w:r>
      <w:r w:rsidRPr="00DF5E2C">
        <w:rPr>
          <w:rStyle w:val="FootnoteReference"/>
          <w:rFonts w:ascii="Adobe Garamond Pro" w:hAnsi="Adobe Garamond Pro" w:cs="Times New Roman"/>
          <w:sz w:val="20"/>
          <w:szCs w:val="20"/>
        </w:rPr>
        <w:footnoteReference w:id="12"/>
      </w:r>
      <w:r w:rsidRPr="00DF5E2C">
        <w:rPr>
          <w:rFonts w:ascii="Adobe Garamond Pro" w:hAnsi="Adobe Garamond Pro" w:cs="Times New Roman"/>
          <w:sz w:val="20"/>
          <w:szCs w:val="20"/>
        </w:rPr>
        <w:t xml:space="preserve">. Decentralizovana struktura vlasti u BiH ima za posljedicu različitost uslova za ostvarenje socijalne pomoći, nadležnosti u oblasti socijalne zaštite su prenesene na nivo entiteta i kantona što u konačnici za rezultat ima značajne teritorijalne razlike, neujednačene iznose novčanih naknada i usluge i u različitom trajanju što dovodi do nejednakog tretmana korisnika u zavisnosti od toga na kojem dijelu teritorije Bosne i Hercegovine žive. Najočitiji primjer su naknade za dječiji dodatak, naknada plate majci za vrijeme dok odsustvuje sa posla i druge novčane naknade (npr. za novorođenčad) koje se razlikuju između kantona u FBiH ili se u nekim kantonima uopće ne isplaćuju. </w:t>
      </w:r>
    </w:p>
    <w:p w:rsidR="00552896" w:rsidRPr="00DF5E2C" w:rsidRDefault="00552896" w:rsidP="00DA7527">
      <w:pPr>
        <w:spacing w:after="0" w:line="240" w:lineRule="auto"/>
        <w:ind w:firstLine="708"/>
        <w:jc w:val="both"/>
        <w:rPr>
          <w:rFonts w:ascii="Adobe Garamond Pro" w:hAnsi="Adobe Garamond Pro" w:cs="Times New Roman"/>
          <w:sz w:val="20"/>
          <w:szCs w:val="20"/>
        </w:rPr>
      </w:pPr>
    </w:p>
    <w:p w:rsidR="00DA7527" w:rsidRPr="00DF5E2C" w:rsidRDefault="00552896" w:rsidP="00DA7527">
      <w:pPr>
        <w:spacing w:after="0" w:line="240" w:lineRule="auto"/>
        <w:jc w:val="both"/>
        <w:rPr>
          <w:rFonts w:ascii="Adobe Garamond Pro" w:hAnsi="Adobe Garamond Pro" w:cs="Times New Roman"/>
          <w:sz w:val="20"/>
          <w:szCs w:val="20"/>
        </w:rPr>
      </w:pPr>
      <w:r w:rsidRPr="00DF5E2C">
        <w:rPr>
          <w:rFonts w:ascii="Adobe Garamond Pro" w:hAnsi="Adobe Garamond Pro" w:cs="Times New Roman"/>
          <w:sz w:val="20"/>
          <w:szCs w:val="20"/>
        </w:rPr>
        <w:tab/>
      </w:r>
      <w:r w:rsidR="00DA7527" w:rsidRPr="00DF5E2C">
        <w:rPr>
          <w:rFonts w:ascii="Adobe Garamond Pro" w:hAnsi="Adobe Garamond Pro" w:cs="Times New Roman"/>
          <w:sz w:val="20"/>
          <w:szCs w:val="20"/>
        </w:rPr>
        <w:t xml:space="preserve">Zakonom je uspostavljen minimum socijalne zaštite, što je dalje razrađeno kroz posebne kantonalne zakone koji usvajaju različite iznose socijalnih davanja u okviru zadatog </w:t>
      </w:r>
      <w:r w:rsidR="00DA7527" w:rsidRPr="00DF5E2C">
        <w:rPr>
          <w:rFonts w:ascii="Adobe Garamond Pro" w:hAnsi="Adobe Garamond Pro" w:cs="Times New Roman"/>
          <w:sz w:val="20"/>
          <w:szCs w:val="20"/>
        </w:rPr>
        <w:lastRenderedPageBreak/>
        <w:t>raspona. Isto dovodi do velike disperzije prava iz oblasti socijalne zaštite u kantonima jer neki kantoni nisu u stanju da izvršavaju ove obaveze. Prava iz osnova osiguranja od nezaposlenosti realizuju se putem novčanih naknada za nezaposlenost u skladu sa uplaćenim doprinosima za osiguranje ili srazmjerno radnom stažu. Period primanja novčane naknade za nezaposlenost zavisi od dužine staža osiguranja.</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U smislu ispunjenja klimatsko-energetskih ciljeva Strategije Evropa 2020, Bosna i Hercegovina je stvorila osnov za ograničen napredak kreiranjem obimnog Izvještaja o stanju životne sredine u BiH koji je izrađen u okviru Ministarstva za vanjsku trgovinu i ekonomske odnose BiH. Radi se o prvom izvještaju takve vrste koji je baziran na dostupnim podacima i indikatorima kvalitete zraka, upravljanja otpadom, vodama, zaštiti prirode, kontroli industrijskog zagađenja, te klimatskim promjenama</w:t>
      </w:r>
      <w:r w:rsidRPr="00DF5E2C">
        <w:rPr>
          <w:rStyle w:val="FootnoteReference"/>
          <w:rFonts w:ascii="Adobe Garamond Pro" w:hAnsi="Adobe Garamond Pro" w:cs="Times New Roman"/>
          <w:sz w:val="20"/>
          <w:szCs w:val="20"/>
        </w:rPr>
        <w:footnoteReference w:id="13"/>
      </w:r>
      <w:r w:rsidRPr="00DF5E2C">
        <w:rPr>
          <w:rFonts w:ascii="Adobe Garamond Pro" w:hAnsi="Adobe Garamond Pro" w:cs="Times New Roman"/>
          <w:sz w:val="20"/>
          <w:szCs w:val="20"/>
        </w:rPr>
        <w:t>. Da bi se ispunjavale preuzete obaveze u oblasti klimatskih promjena, energetskog tržišta i obnovljivih izvora energije, te usklađivalo sa zakonodavstvom EU potrebno je provoditi strateško planiranje na nivou cijele Bosne i Hercegovine, uskladiti zakonodavstvo, primijeniti horizontalnu i vertikalnu harmonizaciju kako bi ova oblast doživjela napredak i razvoj u skladu sa preuzetim obavezama iz Ugovora o Energetskoj zajednici</w:t>
      </w:r>
      <w:r w:rsidRPr="00DF5E2C">
        <w:rPr>
          <w:rStyle w:val="FootnoteReference"/>
          <w:rFonts w:ascii="Adobe Garamond Pro" w:hAnsi="Adobe Garamond Pro" w:cs="Times New Roman"/>
          <w:sz w:val="20"/>
          <w:szCs w:val="20"/>
        </w:rPr>
        <w:footnoteReference w:id="14"/>
      </w:r>
      <w:r w:rsidRPr="00DF5E2C">
        <w:rPr>
          <w:rFonts w:ascii="Adobe Garamond Pro" w:hAnsi="Adobe Garamond Pro" w:cs="Times New Roman"/>
          <w:sz w:val="20"/>
          <w:szCs w:val="20"/>
        </w:rPr>
        <w:t>. Ohrabruje povećanje broja realiziranih inicijativa i projekata u oblasti obnovljive energije i povećanja energetske efikasnosti, naročito kada je riječ o objektima u javnoj upotrebi. Napredak u ovoj oblasti potakao bi nova ulaganja, što bi se odrazilo na sigurnost snabdijevanja, efikasno funkcionisanje državnog preduzeća za prenos električne energije i integrisana tržišta energije.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Kada je riječ o učenicima koji rano prekidaju školovanje Strategija Evropa 2020 postavila je cilj smanjenja broja istih sa 15% na ispod 10%, te najmanje 40% mladih sa univerzitetskom diplomom. U tom smislu BiH ima vrlo visoku stopu prijevremenog napuštanja školovanja u osnovnom i srednjem obrazovanju od oko 30,5%</w:t>
      </w:r>
      <w:r w:rsidRPr="00DF5E2C">
        <w:rPr>
          <w:rStyle w:val="FootnoteReference"/>
          <w:rFonts w:ascii="Adobe Garamond Pro" w:hAnsi="Adobe Garamond Pro" w:cs="Times New Roman"/>
          <w:sz w:val="20"/>
          <w:szCs w:val="20"/>
        </w:rPr>
        <w:footnoteReference w:id="15"/>
      </w:r>
      <w:r w:rsidRPr="00DF5E2C">
        <w:rPr>
          <w:rFonts w:ascii="Adobe Garamond Pro" w:hAnsi="Adobe Garamond Pro" w:cs="Times New Roman"/>
          <w:sz w:val="20"/>
          <w:szCs w:val="20"/>
        </w:rPr>
        <w:t>. Vrijedi istaći kako je stopa prijevremenog napuštanja školovanja  puno niža u RS-u u odnosu na BiH u cjelini, što je približava prosjeku u zemljama članicama EU i ciljevima iz Strategije Evropa 2020, a to je smanjenje stope prijevremenog napuštanja školovanja na 10% do 2020. godine.</w:t>
      </w:r>
    </w:p>
    <w:p w:rsidR="00DA7527" w:rsidRDefault="00DA7527" w:rsidP="00DA7527">
      <w:pPr>
        <w:spacing w:after="0" w:line="240" w:lineRule="auto"/>
        <w:jc w:val="both"/>
        <w:rPr>
          <w:rFonts w:ascii="Adobe Garamond Pro" w:hAnsi="Adobe Garamond Pro" w:cs="Times New Roman"/>
          <w:sz w:val="20"/>
          <w:szCs w:val="20"/>
        </w:rPr>
      </w:pPr>
    </w:p>
    <w:p w:rsidR="00DF5E2C" w:rsidRPr="00DF5E2C" w:rsidRDefault="00DF5E2C"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jc w:val="both"/>
        <w:rPr>
          <w:rFonts w:ascii="Adobe Garamond Pro" w:hAnsi="Adobe Garamond Pro" w:cs="Times New Roman"/>
          <w:b/>
        </w:rPr>
      </w:pPr>
      <w:r w:rsidRPr="00DF5E2C">
        <w:rPr>
          <w:rFonts w:ascii="Adobe Garamond Pro" w:hAnsi="Adobe Garamond Pro" w:cs="Times New Roman"/>
          <w:b/>
        </w:rPr>
        <w:lastRenderedPageBreak/>
        <w:t>Značaj provedbenih mehanizama Strategije Evropa 2020 za Bosnu i Hercegovinu na njezinom putu prema EU</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S obzirom na činjenicu da Bosna i Hercegovina nije članica EU nema obavezu provođenja Strategije Evropa 2020, međutim Evropska komisija je u procesu provođenja Sporazuma o stabilizaciji i pridruživanju i Privremenog sporazuma diplomatskim riječnikom dala do znanja Bosni i Hercegovini o važnosti praćenja Strategije kroz svoje planove i programe</w:t>
      </w:r>
      <w:r w:rsidRPr="00DF5E2C">
        <w:rPr>
          <w:rStyle w:val="FootnoteReference"/>
          <w:rFonts w:ascii="Adobe Garamond Pro" w:hAnsi="Adobe Garamond Pro" w:cs="Times New Roman"/>
          <w:sz w:val="20"/>
          <w:szCs w:val="20"/>
        </w:rPr>
        <w:footnoteReference w:id="16"/>
      </w:r>
      <w:r w:rsidRPr="00DF5E2C">
        <w:rPr>
          <w:rFonts w:ascii="Adobe Garamond Pro" w:hAnsi="Adobe Garamond Pro" w:cs="Times New Roman"/>
          <w:sz w:val="20"/>
          <w:szCs w:val="20"/>
        </w:rPr>
        <w:t>. Strategija Evropa 2020 će imati ulogu katalizatora reformi kako u EU tako i u BiH, pristup iz perspektive budućeg članstva u EU, identificiranje vlastitih prioriteta, kao i ciljeva na pojedinim područjima, usvajanje dobre prakse drugih zemalja (strateški dokumenti, akcijski planovi, unaprijeđenje sistema prikupljanja i praćenja kvalitativnih i kvantitativnih indikatora, usklađenih sa strukturnim indikatorima EU - EUROSTAT), izgradnja administrativnih i apsorpcijskih kapaciteta za korištenje EU programa i fondova, te unapređenje prakse sudjelovanja u provedbenim mehanizmima. Za Bosnu i Hercegovinu je važno da se oslanja na iskustvo država članica EU i da pristupi rješavanju problema naglašenih u inicijativama iz Strategije Evropa 2020. Iskustva država članica mogu dobro koristiti Bosni i Hercegovini u cilju dobrih priprema za korištenje predpristupne pomoći, pripreme projekata, izrade potrebne projektne i konkursne dokumentacije, strategija, partnerstava, regionalne saradnje, korištenja novih tehnologija, istraživanja, poboljšanja kapaciteta i administrativnih sposobnosti za korištenje sredstava novčane pomoći.</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552896" w:rsidP="00DA7527">
      <w:pPr>
        <w:spacing w:after="0" w:line="240" w:lineRule="auto"/>
        <w:jc w:val="both"/>
        <w:rPr>
          <w:rFonts w:ascii="Adobe Garamond Pro" w:hAnsi="Adobe Garamond Pro" w:cs="Times New Roman"/>
          <w:b/>
        </w:rPr>
      </w:pPr>
      <w:r w:rsidRPr="00DF5E2C">
        <w:rPr>
          <w:rFonts w:ascii="Adobe Garamond Pro" w:hAnsi="Adobe Garamond Pro" w:cs="Times New Roman"/>
          <w:b/>
        </w:rPr>
        <w:t>ZAKLJUČAK</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Lisabonska strategija bila je u posljednjih deset godina važan razvojni strateški okvir Evropske unije. Od 2011. godine otpočelo je provođenje nove Strategije Evropa 2020 i nastavak programa reformi uz fokusiranje na inovacije, znanje i konkurentnost, ekonomski rast, zapošljavanje, socijalnu koheziju i jačanje ekonomije sa obnovljivim izvorima energije i kontrolu u oblasti zaštite okoliša. I dalje se vjeruje u pozitivne učinke reformi, iako Lisabonska strategija nije ispunila u potpunosti očekivanja. Ono na čemu insistira Strategija Evropa 2020 je jača kontrola i razvoj instrumenata ekonomskog upravljanja koji se baziraju na jačoj makroekonomskoj, budžetskoj i strukturnoj kontroli. Stoga je namjera Evropske komisije angažirati pravne i financijske instrumente radi ostvarenja ciljeva Strategije, poput jedinstvenog tržišta (politika konkurencije), budžeta (kohezioni i strukturalni fondovi) i vanjske ekonomske politike Unije. S tim u vezi za EU je posebno važno proširenje područja na kojima se primjenjuju pravila Unije.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 xml:space="preserve">Nakon financijske i ekonomske krize bile su izgledne socijalna i politička kriza stoga su se s pravom prethodne godine smatrale kao prekretnice u izgradnji Unije. Financijska i ekonomska kriza istina nude priliku za nove kvalitativne iskorake u evropskim integracijama, </w:t>
      </w:r>
      <w:r w:rsidRPr="00DF5E2C">
        <w:rPr>
          <w:rFonts w:ascii="Adobe Garamond Pro" w:hAnsi="Adobe Garamond Pro" w:cs="Times New Roman"/>
          <w:sz w:val="20"/>
          <w:szCs w:val="20"/>
        </w:rPr>
        <w:lastRenderedPageBreak/>
        <w:t>ali nose i opasnost smanjenja socijalne zaštite i stečenih prava zbog značajnih mjera štednje, što može dovesti do političke krize i jačanja radikalnih političkih opcija. Strategija Evropa 2020 još jednom stavlja u prvi plan Evropsku komisiju sa zadatkom pripreme i predstavljanja Izvještaja o godišnjem pregledu rasta i zapošljavanja. Izvještaj sadrži ocjene o napretku u provođenju nacionalnih programa reformi, te predlaže strožije praćenje i posebne preporuke za pojedine zemlje članice, što je bila jedna od najvećih slabosti Lisabonske strategije.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Ciljevi Strategije Evropa 2020 važni su kako za BiH tako i za zemlje regiona. Isti ne sadrže dodatne ekonomske ciljeve i kriterije, ali će prema prijedlogu Evropske komisije biti inkorporirani u politike EU prema Jugoistočnoj Evropi. Zemlje u regionu, među kojima i Bosna i Hercegovina bi trebale uzeti u obzir predmetne ciljeve prilikom provođenja reformskih programa i akcijskih planova. Prioriteti Strategije Evropa 2020 različito se tumače, s obzirom na različitost situacije i potreba u svakoj pojedinoj zemlji, različiti prioriteti za strukturno različite zemlje. U skladu s tim i BiH treba izvršiti izbor prioriteta i odrediti vlastiti vremenski okvir za provođenje predmetnih ciljeva</w:t>
      </w:r>
      <w:r w:rsidRPr="00DF5E2C">
        <w:rPr>
          <w:rStyle w:val="FootnoteReference"/>
          <w:rFonts w:ascii="Adobe Garamond Pro" w:hAnsi="Adobe Garamond Pro" w:cs="Times New Roman"/>
          <w:sz w:val="20"/>
          <w:szCs w:val="20"/>
        </w:rPr>
        <w:footnoteReference w:id="17"/>
      </w:r>
      <w:r w:rsidRPr="00DF5E2C">
        <w:rPr>
          <w:rFonts w:ascii="Adobe Garamond Pro" w:hAnsi="Adobe Garamond Pro" w:cs="Times New Roman"/>
          <w:sz w:val="20"/>
          <w:szCs w:val="20"/>
        </w:rPr>
        <w:t>. Uzimajući u obzir cjelokupnu političku situaciju u BiH iluzorno je očekivati brzo i uspješno ostvarenje ciljeva Strategije, međutim ona treba ostati glavni okvir reformi u EU koji vodi višim standardima. Uočava  se činjenica da Strategija čini prilagođavanje zemlje u odnosu na EU još zahtjevnijom nego pri posljednjem proširenju, što obuhvata kompletan paket od pripreme završnog programa provedbe ciljeva, preko razrade akcijskih planova za pojedina specifična područja, do uspješnog preuzimanja odgovornosti i stvarnog provođenja reformi, svijesti i nivoa razumijevanja instrumenata za provođenje programa, uključujući i razvoj usporedive statistike i uspostavu sistema prikupljanja i praćenja kvalitativnih i kvantitativnih pokazatelja. Prethodno je važno jer omogućuje usporedbu sa drugim zemljama članicama i kandidatkinjama na jednakim osnovama. Ovim se vraćamo na izvorište koje leži u jednostavnoj činjenici da jačanjem institucionalnih kapaciteta i preuzimanjem vlasništva nad promjenama u procesu integracije u EU dolazimo do funkcionalnije države.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DA7527" w:rsidP="00DA7527">
      <w:pPr>
        <w:tabs>
          <w:tab w:val="left" w:pos="9072"/>
        </w:tabs>
        <w:spacing w:after="0" w:line="240" w:lineRule="auto"/>
        <w:ind w:firstLine="708"/>
        <w:jc w:val="both"/>
        <w:rPr>
          <w:rFonts w:ascii="Adobe Garamond Pro" w:hAnsi="Adobe Garamond Pro" w:cs="Times New Roman"/>
          <w:sz w:val="20"/>
          <w:szCs w:val="20"/>
        </w:rPr>
      </w:pPr>
      <w:r w:rsidRPr="00DF5E2C">
        <w:rPr>
          <w:rFonts w:ascii="Adobe Garamond Pro" w:hAnsi="Adobe Garamond Pro" w:cs="Times New Roman"/>
          <w:sz w:val="20"/>
          <w:szCs w:val="20"/>
        </w:rPr>
        <w:t xml:space="preserve">Strategija Evropa 2020 nije samo značajna unutar EU, ona također može ponuditi značajne potencijale zemljama kandidatima i susjednim zemljama i osnažiti njihove reforme širenjem zone u kojoj se primjenjuju pravila Unije što će stvoriti nove mogućnosti kako za Uniju, tako i za i njezine susjede. Institucije Unije učestvuju zajedno sa institucijama država članica u provođenju Strategije Evropa 2020. Partnerski pristup na relaciji Vijeće, Evropska </w:t>
      </w:r>
      <w:r w:rsidRPr="00DF5E2C">
        <w:rPr>
          <w:rFonts w:ascii="Adobe Garamond Pro" w:hAnsi="Adobe Garamond Pro" w:cs="Times New Roman"/>
          <w:sz w:val="20"/>
          <w:szCs w:val="20"/>
        </w:rPr>
        <w:lastRenderedPageBreak/>
        <w:t>komisija i Evropski parlament obuhvata svakako i odbore Unije, nacionalne parlamente država članica, različite nivoe vlasti u državama članicama, socijalne parnere i građane država članica. Ostale zemlje koje su pozvane, kandidati za članstvo i potencijalni kandidati svakako treba da uzmu učešće u primjeni Strategije Evropa 2020. Konkretno se referiramo na Bosnu i Hercegovinu koja je direktno pozvana da prati ovu Strategiju i treba da konačno povede računa o jačem ekonomskom upravljanju provođenjem Privremenog sporazuma i samog Sporazuma o stabilizaciji i pridruživanju. To je jedini način izgradnje organizirane države, odgovorne prema svojim građanima u osiguranju materijalnih uslova za funkcionisanje ekonomije, socijalne politike i zaštite općeg dobra i javnog interesa što je tradicionalno i uloga svake države.</w:t>
      </w:r>
    </w:p>
    <w:p w:rsidR="00DA7527" w:rsidRPr="00DF5E2C" w:rsidRDefault="00DA7527" w:rsidP="00DA7527">
      <w:pPr>
        <w:spacing w:after="0" w:line="240" w:lineRule="auto"/>
        <w:jc w:val="both"/>
        <w:rPr>
          <w:rFonts w:ascii="Adobe Garamond Pro" w:hAnsi="Adobe Garamond Pro" w:cs="Times New Roman"/>
          <w:sz w:val="20"/>
          <w:szCs w:val="20"/>
        </w:rPr>
      </w:pPr>
    </w:p>
    <w:p w:rsidR="00DA7527" w:rsidRPr="00DF5E2C" w:rsidRDefault="00552896" w:rsidP="00DA7527">
      <w:pPr>
        <w:spacing w:after="0" w:line="240" w:lineRule="auto"/>
        <w:jc w:val="both"/>
        <w:rPr>
          <w:rFonts w:ascii="Adobe Garamond Pro" w:hAnsi="Adobe Garamond Pro" w:cs="Times New Roman"/>
          <w:b/>
        </w:rPr>
      </w:pPr>
      <w:r w:rsidRPr="00DF5E2C">
        <w:rPr>
          <w:rFonts w:ascii="Adobe Garamond Pro" w:hAnsi="Adobe Garamond Pro" w:cs="Times New Roman"/>
          <w:b/>
        </w:rPr>
        <w:t>LITERATURA</w:t>
      </w:r>
    </w:p>
    <w:p w:rsidR="00DA7527" w:rsidRPr="00DF5E2C" w:rsidRDefault="00DA7527" w:rsidP="00DA7527">
      <w:pPr>
        <w:spacing w:after="0" w:line="240" w:lineRule="auto"/>
        <w:jc w:val="both"/>
        <w:rPr>
          <w:rFonts w:ascii="Adobe Garamond Pro" w:hAnsi="Adobe Garamond Pro" w:cs="Times New Roman"/>
          <w:b/>
        </w:rPr>
      </w:pPr>
    </w:p>
    <w:p w:rsidR="00DA7527" w:rsidRPr="00DF5E2C" w:rsidRDefault="00DA7527" w:rsidP="00DA7527">
      <w:pPr>
        <w:spacing w:after="0" w:line="240" w:lineRule="auto"/>
        <w:jc w:val="both"/>
        <w:rPr>
          <w:rFonts w:ascii="Adobe Garamond Pro" w:hAnsi="Adobe Garamond Pro" w:cs="Times New Roman"/>
          <w:b/>
        </w:rPr>
      </w:pPr>
      <w:r w:rsidRPr="00DF5E2C">
        <w:rPr>
          <w:rFonts w:ascii="Adobe Garamond Pro" w:hAnsi="Adobe Garamond Pro" w:cs="Times New Roman"/>
          <w:b/>
        </w:rPr>
        <w:t>Knjige, članci</w:t>
      </w:r>
    </w:p>
    <w:p w:rsidR="00DA7527" w:rsidRPr="00DF5E2C" w:rsidRDefault="00DA7527" w:rsidP="00DA7527">
      <w:pPr>
        <w:spacing w:after="0" w:line="240" w:lineRule="auto"/>
        <w:jc w:val="both"/>
        <w:rPr>
          <w:rFonts w:ascii="Adobe Garamond Pro" w:hAnsi="Adobe Garamond Pro" w:cs="Times New Roman"/>
          <w:b/>
          <w:sz w:val="20"/>
          <w:szCs w:val="20"/>
        </w:rPr>
      </w:pPr>
    </w:p>
    <w:p w:rsidR="00DA7527" w:rsidRPr="00DF5E2C" w:rsidRDefault="00DA7527" w:rsidP="00810B71">
      <w:pPr>
        <w:pStyle w:val="FootnoteText"/>
        <w:numPr>
          <w:ilvl w:val="0"/>
          <w:numId w:val="39"/>
        </w:numPr>
        <w:ind w:left="284" w:hanging="284"/>
        <w:jc w:val="both"/>
        <w:rPr>
          <w:rFonts w:ascii="Adobe Garamond Pro" w:hAnsi="Adobe Garamond Pro"/>
          <w:lang w:val="bs-Latn-BA"/>
        </w:rPr>
      </w:pPr>
      <w:r w:rsidRPr="00DF5E2C">
        <w:rPr>
          <w:rFonts w:ascii="Adobe Garamond Pro" w:hAnsi="Adobe Garamond Pro"/>
          <w:lang w:val="bs-Latn-BA"/>
        </w:rPr>
        <w:t>From the Lisabon Strategy to Europe 2020., Edited by: Samardžija Višnja, Butković Hrvoje, Institute for International relations – IMO, Zagreb, 2010.</w:t>
      </w:r>
    </w:p>
    <w:p w:rsidR="00DA7527" w:rsidRPr="00DF5E2C" w:rsidRDefault="00DA7527" w:rsidP="00810B71">
      <w:pPr>
        <w:pStyle w:val="FootnoteText"/>
        <w:numPr>
          <w:ilvl w:val="0"/>
          <w:numId w:val="39"/>
        </w:numPr>
        <w:ind w:left="284" w:hanging="284"/>
        <w:jc w:val="both"/>
        <w:rPr>
          <w:rFonts w:ascii="Adobe Garamond Pro" w:hAnsi="Adobe Garamond Pro"/>
          <w:lang w:val="bs-Latn-BA"/>
        </w:rPr>
      </w:pPr>
      <w:r w:rsidRPr="00DF5E2C">
        <w:rPr>
          <w:rFonts w:ascii="Adobe Garamond Pro" w:hAnsi="Adobe Garamond Pro"/>
          <w:lang w:val="bs-Latn-BA"/>
        </w:rPr>
        <w:t>Agh, Attila, The Europe 2020 Strategy a New vision for the EU, in: From the Lisabon Strategy to Europe 2020., Institute for International relations – IMO, Zagreb, 2010.</w:t>
      </w:r>
    </w:p>
    <w:p w:rsidR="00DA7527" w:rsidRPr="00DF5E2C" w:rsidRDefault="00DA7527" w:rsidP="00810B71">
      <w:pPr>
        <w:pStyle w:val="FootnoteText"/>
        <w:numPr>
          <w:ilvl w:val="0"/>
          <w:numId w:val="39"/>
        </w:numPr>
        <w:ind w:left="284" w:hanging="284"/>
        <w:jc w:val="both"/>
        <w:rPr>
          <w:rFonts w:ascii="Adobe Garamond Pro" w:hAnsi="Adobe Garamond Pro"/>
          <w:lang w:val="bs-Latn-BA"/>
        </w:rPr>
      </w:pPr>
      <w:r w:rsidRPr="00DF5E2C">
        <w:rPr>
          <w:rFonts w:ascii="Adobe Garamond Pro" w:hAnsi="Adobe Garamond Pro"/>
          <w:lang w:val="bs-Latn-BA"/>
        </w:rPr>
        <w:t>Bodiroga-Vukobrat, Nada, Globalizacija prava versus europeizacija prava?, Zbornik Pravnog fakulteta Sveučilišta u Rijeci, Suppl., br.3, 575-595 (2003)</w:t>
      </w:r>
    </w:p>
    <w:p w:rsidR="00DA7527" w:rsidRPr="00DF5E2C" w:rsidRDefault="00DA7527" w:rsidP="00810B71">
      <w:pPr>
        <w:pStyle w:val="FootnoteText"/>
        <w:numPr>
          <w:ilvl w:val="0"/>
          <w:numId w:val="39"/>
        </w:numPr>
        <w:ind w:left="284" w:hanging="284"/>
        <w:jc w:val="both"/>
        <w:rPr>
          <w:rFonts w:ascii="Adobe Garamond Pro" w:hAnsi="Adobe Garamond Pro"/>
          <w:lang w:val="bs-Latn-BA"/>
        </w:rPr>
      </w:pPr>
      <w:r w:rsidRPr="00DF5E2C">
        <w:rPr>
          <w:rFonts w:ascii="Adobe Garamond Pro" w:hAnsi="Adobe Garamond Pro"/>
          <w:lang w:val="bs-Latn-BA"/>
        </w:rPr>
        <w:t>Butković, Hrvoje, 2009. Europska unija na putu prema ostvarivanju ciljeva održivog razvoja, u: Tišma, Sanja i Maleković, Sanja, Zaštita okoliša i regionalni razvoj – iskustva i perspektive. Zagreb, Institut za međunardone odnose: 67-85.</w:t>
      </w:r>
    </w:p>
    <w:p w:rsidR="00DA7527" w:rsidRPr="00DF5E2C" w:rsidRDefault="00DA7527" w:rsidP="00810B71">
      <w:pPr>
        <w:pStyle w:val="FootnoteText"/>
        <w:numPr>
          <w:ilvl w:val="0"/>
          <w:numId w:val="39"/>
        </w:numPr>
        <w:ind w:left="284" w:hanging="284"/>
        <w:jc w:val="both"/>
        <w:rPr>
          <w:rFonts w:ascii="Adobe Garamond Pro" w:hAnsi="Adobe Garamond Pro"/>
          <w:lang w:val="bs-Latn-BA"/>
        </w:rPr>
      </w:pPr>
      <w:r w:rsidRPr="00DF5E2C">
        <w:rPr>
          <w:rFonts w:ascii="Adobe Garamond Pro" w:hAnsi="Adobe Garamond Pro"/>
          <w:lang w:val="bs-Latn-BA"/>
        </w:rPr>
        <w:t>Boromisa, Ana Maria, Samardžija, Višnja, Hrvatska i Lisabonska strategija: Približavanje ciljevima?, Institut za međunarodne odnose Zagreb, http://www.ijf.hr/EU4/boromisa-samardžija.pdf</w:t>
      </w:r>
    </w:p>
    <w:p w:rsidR="00DA7527" w:rsidRPr="00DF5E2C" w:rsidRDefault="00DA7527" w:rsidP="00810B71">
      <w:pPr>
        <w:pStyle w:val="FootnoteText"/>
        <w:numPr>
          <w:ilvl w:val="0"/>
          <w:numId w:val="39"/>
        </w:numPr>
        <w:ind w:left="284" w:hanging="284"/>
        <w:jc w:val="both"/>
        <w:rPr>
          <w:rFonts w:ascii="Adobe Garamond Pro" w:hAnsi="Adobe Garamond Pro"/>
          <w:lang w:val="bs-Latn-BA"/>
        </w:rPr>
      </w:pPr>
      <w:r w:rsidRPr="00DF5E2C">
        <w:rPr>
          <w:rFonts w:ascii="Adobe Garamond Pro" w:hAnsi="Adobe Garamond Pro"/>
          <w:lang w:val="bs-Latn-BA"/>
        </w:rPr>
        <w:t>Chaves R., Monzón J.L., 2010. Socijalna ekonomija u Europskoj uniji. Revija za socijalnu politiku. 17 (I): 113-138.</w:t>
      </w:r>
    </w:p>
    <w:p w:rsidR="00DA7527" w:rsidRPr="00DF5E2C" w:rsidRDefault="00DA7527" w:rsidP="00810B71">
      <w:pPr>
        <w:pStyle w:val="FootnoteText"/>
        <w:numPr>
          <w:ilvl w:val="0"/>
          <w:numId w:val="39"/>
        </w:numPr>
        <w:ind w:left="284" w:hanging="284"/>
        <w:jc w:val="both"/>
        <w:rPr>
          <w:rFonts w:ascii="Adobe Garamond Pro" w:hAnsi="Adobe Garamond Pro"/>
          <w:lang w:val="bs-Latn-BA"/>
        </w:rPr>
      </w:pPr>
      <w:r w:rsidRPr="00DF5E2C">
        <w:rPr>
          <w:rFonts w:ascii="Adobe Garamond Pro" w:hAnsi="Adobe Garamond Pro"/>
          <w:lang w:val="bs-Latn-BA"/>
        </w:rPr>
        <w:t>Hodžić, Amra, Pregled Strategije Evropa 2020 Strategija za pametan, održiv i inkluzivni rast, Direkcija za evropske integracije Vijeća ministara Bosne i Hercegovine, Sarajevo, februar 2014.</w:t>
      </w:r>
    </w:p>
    <w:p w:rsidR="00DA7527" w:rsidRPr="00DF5E2C" w:rsidRDefault="00DA7527" w:rsidP="00DA7527">
      <w:pPr>
        <w:pStyle w:val="FootnoteText"/>
        <w:jc w:val="both"/>
        <w:rPr>
          <w:rFonts w:ascii="Adobe Garamond Pro" w:hAnsi="Adobe Garamond Pro"/>
          <w:lang w:val="bs-Latn-BA"/>
        </w:rPr>
      </w:pPr>
    </w:p>
    <w:p w:rsidR="00DA7527" w:rsidRPr="00DF5E2C" w:rsidRDefault="00DA7527" w:rsidP="00DA7527">
      <w:pPr>
        <w:pStyle w:val="FootnoteText"/>
        <w:jc w:val="both"/>
        <w:rPr>
          <w:rFonts w:ascii="Adobe Garamond Pro" w:hAnsi="Adobe Garamond Pro"/>
          <w:b/>
          <w:sz w:val="22"/>
          <w:szCs w:val="22"/>
          <w:lang w:val="bs-Latn-BA"/>
        </w:rPr>
      </w:pPr>
      <w:r w:rsidRPr="00DF5E2C">
        <w:rPr>
          <w:rFonts w:ascii="Adobe Garamond Pro" w:hAnsi="Adobe Garamond Pro"/>
          <w:b/>
          <w:sz w:val="22"/>
          <w:szCs w:val="22"/>
          <w:lang w:val="bs-Latn-BA"/>
        </w:rPr>
        <w:t>Zvanični dokumenti</w:t>
      </w:r>
    </w:p>
    <w:p w:rsidR="00DA7527" w:rsidRPr="00DF5E2C" w:rsidRDefault="00DA7527" w:rsidP="00DA7527">
      <w:pPr>
        <w:pStyle w:val="FootnoteText"/>
        <w:jc w:val="both"/>
        <w:rPr>
          <w:rFonts w:ascii="Adobe Garamond Pro" w:hAnsi="Adobe Garamond Pro"/>
          <w:b/>
          <w:lang w:val="bs-Latn-BA"/>
        </w:rPr>
      </w:pP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Analiza nedostataka u oblasti politika socijalne zaštite i inkluzije u BiH, Unicef, Sarajevo, novembar 2013.</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European Commission, 2010a, Europe 2020 – A Strategy for Smart, Sustainable and Inclusive Growth. COM (2010) 2020. Brussels, 3 March 2010.</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European Commission, 2010b, Commission Staff Working Document, Lisabon Strategy Evaluation Document. SEC (2010) 114 final. Brussels</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lastRenderedPageBreak/>
        <w:t>European Commission, 2010c, Europe 2020 – Integrated Guidelines for the Economic and Employment Policies of the Member States. SEC (2010) 488 final. Brussels</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European Council, 2010. Conclusions 25/26 March 2010. CO EUR 4 CONCL I. Brussels. 26 March 2010.</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Monitoring procesa evropskih integracija Bosne i Hercegovine, Uporedni izvještaj za 2010. (Zapadni Balkan-Bosna i Hercegovina), Vanjsko politička inicijativa BH</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Sistem državne pomoći u Bosni i Hercegovini, Vanjskopolitička inicijativa BH, Fond otvoreno društvo Bosna i Hercegovina, Sarajevo, januar 2013.</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Strategija razvoja nauke u Bosni i Hercegovini 2010 - 2015., Vijeće ministara Bosne i Hercegovine, novembar 2009.</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 xml:space="preserve">Strukture upravljanja državom u BiH, Vanjsko politička inicijativa BH </w:t>
      </w:r>
      <w:hyperlink r:id="rId8" w:history="1">
        <w:r w:rsidRPr="00DF5E2C">
          <w:rPr>
            <w:rStyle w:val="Hyperlink"/>
            <w:rFonts w:ascii="Adobe Garamond Pro" w:hAnsi="Adobe Garamond Pro"/>
            <w:color w:val="auto"/>
            <w:u w:val="none"/>
            <w:lang w:val="bs-Latn-BA"/>
          </w:rPr>
          <w:t>http://www.vpi.ba/bos/sadržaj/dokumenti/struktura_upravljanja_državom_u_BiH_pdf</w:t>
        </w:r>
      </w:hyperlink>
      <w:r w:rsidRPr="00DF5E2C">
        <w:rPr>
          <w:rFonts w:ascii="Adobe Garamond Pro" w:hAnsi="Adobe Garamond Pro"/>
          <w:lang w:val="bs-Latn-BA"/>
        </w:rPr>
        <w:t>.</w:t>
      </w:r>
    </w:p>
    <w:p w:rsidR="00DA7527" w:rsidRPr="00DF5E2C" w:rsidRDefault="00DA7527" w:rsidP="00810B71">
      <w:pPr>
        <w:pStyle w:val="FootnoteText"/>
        <w:numPr>
          <w:ilvl w:val="0"/>
          <w:numId w:val="38"/>
        </w:numPr>
        <w:ind w:left="284" w:hanging="284"/>
        <w:jc w:val="both"/>
        <w:rPr>
          <w:rFonts w:ascii="Adobe Garamond Pro" w:hAnsi="Adobe Garamond Pro"/>
          <w:lang w:val="bs-Latn-BA"/>
        </w:rPr>
      </w:pPr>
      <w:r w:rsidRPr="00DF5E2C">
        <w:rPr>
          <w:rFonts w:ascii="Adobe Garamond Pro" w:hAnsi="Adobe Garamond Pro"/>
          <w:lang w:val="bs-Latn-BA"/>
        </w:rPr>
        <w:t>Izvještaj o napretku Bosne i Hercegovine u 2013., Strategija proširenja i glavni izazovi 2013-2014. COM (2013) 700, Brisel, 16.10.2013. SWD (2013) 415 final</w:t>
      </w:r>
    </w:p>
    <w:p w:rsidR="00810B71" w:rsidRPr="00DF5E2C" w:rsidRDefault="00810B71" w:rsidP="00810B71">
      <w:pPr>
        <w:pStyle w:val="FootnoteText"/>
        <w:ind w:left="284"/>
        <w:jc w:val="both"/>
        <w:rPr>
          <w:rFonts w:ascii="Adobe Garamond Pro" w:hAnsi="Adobe Garamond Pro"/>
          <w:lang w:val="bs-Latn-BA"/>
        </w:rPr>
      </w:pPr>
    </w:p>
    <w:p w:rsidR="00DA7527" w:rsidRPr="00DF5E2C" w:rsidRDefault="00DA7527" w:rsidP="00DA7527">
      <w:pPr>
        <w:pStyle w:val="FootnoteText"/>
        <w:jc w:val="both"/>
        <w:rPr>
          <w:rFonts w:ascii="Adobe Garamond Pro" w:hAnsi="Adobe Garamond Pro"/>
          <w:b/>
          <w:sz w:val="22"/>
          <w:szCs w:val="22"/>
          <w:lang w:val="bs-Latn-BA"/>
        </w:rPr>
      </w:pPr>
      <w:r w:rsidRPr="00DF5E2C">
        <w:rPr>
          <w:rFonts w:ascii="Adobe Garamond Pro" w:hAnsi="Adobe Garamond Pro"/>
          <w:b/>
          <w:sz w:val="22"/>
          <w:szCs w:val="22"/>
          <w:lang w:val="bs-Latn-BA"/>
        </w:rPr>
        <w:t>Drugi izvori</w:t>
      </w:r>
    </w:p>
    <w:p w:rsidR="00DA7527" w:rsidRPr="00DF5E2C" w:rsidRDefault="00DA7527" w:rsidP="00DA7527">
      <w:pPr>
        <w:pStyle w:val="FootnoteText"/>
        <w:jc w:val="both"/>
        <w:rPr>
          <w:rFonts w:ascii="Adobe Garamond Pro" w:hAnsi="Adobe Garamond Pro"/>
          <w:b/>
          <w:lang w:val="bs-Latn-BA"/>
        </w:rPr>
      </w:pPr>
    </w:p>
    <w:p w:rsidR="00DA7527" w:rsidRPr="00DF5E2C" w:rsidRDefault="009A25F6" w:rsidP="00810B71">
      <w:pPr>
        <w:pStyle w:val="FootnoteText"/>
        <w:numPr>
          <w:ilvl w:val="0"/>
          <w:numId w:val="45"/>
        </w:numPr>
        <w:ind w:left="284" w:hanging="284"/>
        <w:jc w:val="both"/>
        <w:rPr>
          <w:rFonts w:ascii="Adobe Garamond Pro" w:hAnsi="Adobe Garamond Pro"/>
          <w:lang w:val="bs-Latn-BA"/>
        </w:rPr>
      </w:pPr>
      <w:hyperlink r:id="rId9" w:history="1">
        <w:r w:rsidR="00DA7527" w:rsidRPr="00DF5E2C">
          <w:rPr>
            <w:rStyle w:val="Hyperlink"/>
            <w:rFonts w:ascii="Adobe Garamond Pro" w:hAnsi="Adobe Garamond Pro"/>
            <w:color w:val="auto"/>
            <w:u w:val="none"/>
            <w:lang w:val="bs-Latn-BA"/>
          </w:rPr>
          <w:t>http://ec.europa.eu/invest-in-research/pdf/download_en/aho_report.pdf</w:t>
        </w:r>
      </w:hyperlink>
      <w:r w:rsidR="00DA7527" w:rsidRPr="00DF5E2C">
        <w:rPr>
          <w:rFonts w:ascii="Adobe Garamond Pro" w:hAnsi="Adobe Garamond Pro"/>
          <w:lang w:val="bs-Latn-BA"/>
        </w:rPr>
        <w:t xml:space="preserve"> </w:t>
      </w:r>
    </w:p>
    <w:p w:rsidR="00DA7527" w:rsidRPr="00DF5E2C" w:rsidRDefault="009A25F6" w:rsidP="00810B71">
      <w:pPr>
        <w:pStyle w:val="FootnoteText"/>
        <w:numPr>
          <w:ilvl w:val="0"/>
          <w:numId w:val="45"/>
        </w:numPr>
        <w:ind w:left="284" w:hanging="284"/>
        <w:jc w:val="both"/>
        <w:rPr>
          <w:rFonts w:ascii="Adobe Garamond Pro" w:hAnsi="Adobe Garamond Pro"/>
          <w:lang w:val="bs-Latn-BA"/>
        </w:rPr>
      </w:pPr>
      <w:hyperlink r:id="rId10" w:history="1">
        <w:r w:rsidR="00DA7527" w:rsidRPr="00DF5E2C">
          <w:rPr>
            <w:rStyle w:val="Hyperlink"/>
            <w:rFonts w:ascii="Adobe Garamond Pro" w:hAnsi="Adobe Garamond Pro"/>
            <w:color w:val="auto"/>
            <w:u w:val="none"/>
            <w:lang w:val="bs-Latn-BA"/>
          </w:rPr>
          <w:t>http://ec.europa.eu/research/horizon2020/indexen.cfm?pq=h2020-documents</w:t>
        </w:r>
      </w:hyperlink>
    </w:p>
    <w:p w:rsidR="00DA7527" w:rsidRPr="00DF5E2C" w:rsidRDefault="009A25F6" w:rsidP="00810B71">
      <w:pPr>
        <w:pStyle w:val="FootnoteText"/>
        <w:numPr>
          <w:ilvl w:val="0"/>
          <w:numId w:val="45"/>
        </w:numPr>
        <w:ind w:left="284" w:hanging="284"/>
        <w:jc w:val="both"/>
        <w:rPr>
          <w:rFonts w:ascii="Adobe Garamond Pro" w:hAnsi="Adobe Garamond Pro"/>
          <w:lang w:val="bs-Latn-BA"/>
        </w:rPr>
      </w:pPr>
      <w:hyperlink r:id="rId11" w:history="1">
        <w:r w:rsidR="00DA7527" w:rsidRPr="00DF5E2C">
          <w:rPr>
            <w:rStyle w:val="Hyperlink"/>
            <w:rFonts w:ascii="Adobe Garamond Pro" w:hAnsi="Adobe Garamond Pro"/>
            <w:color w:val="auto"/>
            <w:u w:val="none"/>
            <w:lang w:val="bs-Latn-BA"/>
          </w:rPr>
          <w:t>www.unep.ba/tl_files/unep_ba/PDFs/Izvještaj_prelom_BOS_10-2013_elektronski.pdf</w:t>
        </w:r>
      </w:hyperlink>
    </w:p>
    <w:p w:rsidR="00DA7527" w:rsidRPr="00DF5E2C" w:rsidRDefault="009A25F6" w:rsidP="00810B71">
      <w:pPr>
        <w:pStyle w:val="FootnoteText"/>
        <w:numPr>
          <w:ilvl w:val="0"/>
          <w:numId w:val="45"/>
        </w:numPr>
        <w:ind w:left="284" w:hanging="284"/>
        <w:jc w:val="both"/>
        <w:rPr>
          <w:rFonts w:ascii="Adobe Garamond Pro" w:hAnsi="Adobe Garamond Pro"/>
          <w:lang w:val="bs-Latn-BA"/>
        </w:rPr>
      </w:pPr>
      <w:hyperlink r:id="rId12" w:history="1">
        <w:r w:rsidR="00DA7527" w:rsidRPr="00DF5E2C">
          <w:rPr>
            <w:rStyle w:val="Hyperlink"/>
            <w:rFonts w:ascii="Adobe Garamond Pro" w:hAnsi="Adobe Garamond Pro"/>
            <w:color w:val="auto"/>
            <w:u w:val="none"/>
            <w:lang w:val="bs-Latn-BA"/>
          </w:rPr>
          <w:t>www.unicef.org/bih/ba/GAPanaliza.pdf</w:t>
        </w:r>
      </w:hyperlink>
    </w:p>
    <w:p w:rsidR="00DA7527" w:rsidRPr="00DF5E2C" w:rsidRDefault="009A25F6" w:rsidP="00810B71">
      <w:pPr>
        <w:pStyle w:val="FootnoteText"/>
        <w:numPr>
          <w:ilvl w:val="0"/>
          <w:numId w:val="45"/>
        </w:numPr>
        <w:ind w:left="284" w:hanging="284"/>
        <w:jc w:val="both"/>
        <w:rPr>
          <w:rFonts w:ascii="Adobe Garamond Pro" w:hAnsi="Adobe Garamond Pro"/>
          <w:lang w:val="bs-Latn-BA"/>
        </w:rPr>
      </w:pPr>
      <w:hyperlink r:id="rId13" w:history="1">
        <w:r w:rsidR="00DA7527" w:rsidRPr="00DF5E2C">
          <w:rPr>
            <w:rStyle w:val="Hyperlink"/>
            <w:rFonts w:ascii="Adobe Garamond Pro" w:hAnsi="Adobe Garamond Pro"/>
            <w:color w:val="auto"/>
            <w:u w:val="none"/>
            <w:lang w:val="bs-Latn-BA"/>
          </w:rPr>
          <w:t>http://ec.europa.eu/europe2020/index_en.htm</w:t>
        </w:r>
      </w:hyperlink>
    </w:p>
    <w:p w:rsidR="00DA7527" w:rsidRPr="00DF5E2C" w:rsidRDefault="009A25F6" w:rsidP="00810B71">
      <w:pPr>
        <w:pStyle w:val="FootnoteText"/>
        <w:numPr>
          <w:ilvl w:val="0"/>
          <w:numId w:val="45"/>
        </w:numPr>
        <w:ind w:left="284" w:hanging="284"/>
        <w:jc w:val="both"/>
        <w:rPr>
          <w:rFonts w:ascii="Adobe Garamond Pro" w:hAnsi="Adobe Garamond Pro"/>
          <w:lang w:val="bs-Latn-BA"/>
        </w:rPr>
      </w:pPr>
      <w:hyperlink r:id="rId14" w:history="1">
        <w:r w:rsidR="00DA7527" w:rsidRPr="00DF5E2C">
          <w:rPr>
            <w:rStyle w:val="Hyperlink"/>
            <w:rFonts w:ascii="Adobe Garamond Pro" w:hAnsi="Adobe Garamond Pro"/>
            <w:color w:val="auto"/>
            <w:u w:val="none"/>
            <w:lang w:val="bs-Latn-BA"/>
          </w:rPr>
          <w:t>http://www.vpi.ba/bos/u_fokusu.html</w:t>
        </w:r>
      </w:hyperlink>
      <w:r w:rsidR="00DA7527" w:rsidRPr="00DF5E2C">
        <w:rPr>
          <w:rFonts w:ascii="Adobe Garamond Pro" w:hAnsi="Adobe Garamond Pro"/>
          <w:lang w:val="bs-Latn-BA"/>
        </w:rPr>
        <w:t xml:space="preserve"> </w:t>
      </w:r>
    </w:p>
    <w:p w:rsidR="00DA7527" w:rsidRPr="00DF5E2C" w:rsidRDefault="009A25F6" w:rsidP="00810B71">
      <w:pPr>
        <w:pStyle w:val="FootnoteText"/>
        <w:numPr>
          <w:ilvl w:val="0"/>
          <w:numId w:val="45"/>
        </w:numPr>
        <w:ind w:left="284" w:hanging="284"/>
        <w:jc w:val="both"/>
        <w:rPr>
          <w:rFonts w:ascii="Adobe Garamond Pro" w:hAnsi="Adobe Garamond Pro"/>
          <w:lang w:val="bs-Latn-BA"/>
        </w:rPr>
      </w:pPr>
      <w:hyperlink r:id="rId15" w:history="1">
        <w:r w:rsidR="00DA7527" w:rsidRPr="00DF5E2C">
          <w:rPr>
            <w:rStyle w:val="Hyperlink"/>
            <w:rFonts w:ascii="Adobe Garamond Pro" w:hAnsi="Adobe Garamond Pro"/>
            <w:color w:val="auto"/>
            <w:u w:val="none"/>
            <w:lang w:val="bs-Latn-BA"/>
          </w:rPr>
          <w:t>http://www.imo.hr/files/EU2020-Samardžija.PDF</w:t>
        </w:r>
      </w:hyperlink>
    </w:p>
    <w:p w:rsidR="008627D2" w:rsidRDefault="008627D2" w:rsidP="00DA7527">
      <w:pPr>
        <w:spacing w:after="0" w:line="240" w:lineRule="auto"/>
        <w:jc w:val="both"/>
        <w:rPr>
          <w:rFonts w:ascii="Adobe Garamond Pro" w:hAnsi="Adobe Garamond Pro" w:cs="Times New Roman"/>
          <w:sz w:val="24"/>
          <w:szCs w:val="24"/>
          <w:lang w:val="bs-Latn-BA"/>
        </w:rPr>
      </w:pPr>
    </w:p>
    <w:sectPr w:rsidR="008627D2" w:rsidSect="00C75A89">
      <w:headerReference w:type="even" r:id="rId16"/>
      <w:headerReference w:type="default" r:id="rId17"/>
      <w:footerReference w:type="even" r:id="rId18"/>
      <w:footerReference w:type="default" r:id="rId19"/>
      <w:headerReference w:type="first" r:id="rId20"/>
      <w:footerReference w:type="first" r:id="rId21"/>
      <w:type w:val="continuous"/>
      <w:pgSz w:w="10319" w:h="14578" w:code="138"/>
      <w:pgMar w:top="-1843" w:right="1389" w:bottom="1985" w:left="1701" w:header="1134" w:footer="1418" w:gutter="0"/>
      <w:pgNumType w:start="38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A1F" w:rsidRDefault="00AD4A1F" w:rsidP="000C691C">
      <w:pPr>
        <w:spacing w:after="0" w:line="240" w:lineRule="auto"/>
      </w:pPr>
      <w:r>
        <w:separator/>
      </w:r>
    </w:p>
  </w:endnote>
  <w:endnote w:type="continuationSeparator" w:id="1">
    <w:p w:rsidR="00AD4A1F" w:rsidRDefault="00AD4A1F"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A25F6">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C75A89">
      <w:rPr>
        <w:rFonts w:ascii="Adobe Garamond Pro" w:hAnsi="Adobe Garamond Pro" w:cs="Times New Roman"/>
        <w:noProof/>
        <w:sz w:val="20"/>
        <w:szCs w:val="20"/>
      </w:rPr>
      <w:t>384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A25F6"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A25F6" w:rsidRPr="00FE57C1">
      <w:rPr>
        <w:rFonts w:ascii="Adobe Garamond Pro" w:hAnsi="Adobe Garamond Pro" w:cs="Times New Roman"/>
        <w:sz w:val="20"/>
        <w:szCs w:val="20"/>
      </w:rPr>
      <w:fldChar w:fldCharType="separate"/>
    </w:r>
    <w:r w:rsidR="00C75A89">
      <w:rPr>
        <w:rFonts w:ascii="Adobe Garamond Pro" w:hAnsi="Adobe Garamond Pro" w:cs="Times New Roman"/>
        <w:noProof/>
        <w:sz w:val="20"/>
        <w:szCs w:val="20"/>
      </w:rPr>
      <w:t>395</w:t>
    </w:r>
    <w:r w:rsidR="009A25F6"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A25F6"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C75A89">
      <w:rPr>
        <w:rFonts w:ascii="Adobe Garamond Pro" w:hAnsi="Adobe Garamond Pro" w:cs="Times New Roman"/>
        <w:noProof/>
        <w:sz w:val="20"/>
        <w:szCs w:val="20"/>
      </w:rPr>
      <w:t>383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A1F" w:rsidRDefault="00AD4A1F" w:rsidP="000C691C">
      <w:pPr>
        <w:spacing w:after="0" w:line="240" w:lineRule="auto"/>
      </w:pPr>
      <w:r>
        <w:separator/>
      </w:r>
    </w:p>
  </w:footnote>
  <w:footnote w:type="continuationSeparator" w:id="1">
    <w:p w:rsidR="00AD4A1F" w:rsidRDefault="00AD4A1F" w:rsidP="000C691C">
      <w:pPr>
        <w:spacing w:after="0" w:line="240" w:lineRule="auto"/>
      </w:pPr>
      <w:r>
        <w:continuationSeparator/>
      </w:r>
    </w:p>
  </w:footnote>
  <w:footnote w:id="2">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Izvor: Evropska komisija, 2010a, Navedeni ciljevi su reprezentativni i nisu ograničeni, predstavljaju viđenje Evropske komisije o pozicioniranju EU prema ključnim parametrima do 2020 godine. Namjera Evropske komisije je bila da predmetni ciljevi postanu dio nacionalnih smjernica, što bi osiguralo preuzimanje Strategije Evropa 2020 od strane država članica u skladu sa vlastitim potrebama i pozicijama.</w:t>
      </w:r>
    </w:p>
  </w:footnote>
  <w:footnote w:id="3">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Agh, Attila, The Europe 2020 Strategy a New vision for the EU, From the Lisabon Strategy to Europe 2020., Institute for International relations – IMO, Zagreb, 2010.</w:t>
      </w:r>
    </w:p>
    <w:p w:rsidR="00DA7527" w:rsidRPr="00DF5E2C" w:rsidRDefault="00DA7527" w:rsidP="00DA7527">
      <w:pPr>
        <w:pStyle w:val="FootnoteText"/>
        <w:jc w:val="both"/>
        <w:rPr>
          <w:rFonts w:ascii="Adobe Garamond Pro" w:hAnsi="Adobe Garamond Pro"/>
          <w:sz w:val="18"/>
          <w:szCs w:val="18"/>
          <w:lang w:val="bs-Latn-BA"/>
        </w:rPr>
      </w:pPr>
    </w:p>
    <w:p w:rsidR="00DA7527" w:rsidRPr="00DF5E2C" w:rsidRDefault="00DA7527" w:rsidP="00DA7527">
      <w:pPr>
        <w:pStyle w:val="FootnoteText"/>
        <w:jc w:val="both"/>
        <w:rPr>
          <w:rFonts w:ascii="Adobe Garamond Pro" w:hAnsi="Adobe Garamond Pro"/>
          <w:sz w:val="18"/>
          <w:szCs w:val="18"/>
          <w:lang w:val="bs-Latn-BA"/>
        </w:rPr>
      </w:pPr>
    </w:p>
    <w:p w:rsidR="00DA7527" w:rsidRPr="00DF5E2C" w:rsidRDefault="00DA7527" w:rsidP="00DA7527">
      <w:pPr>
        <w:pStyle w:val="FootnoteText"/>
        <w:jc w:val="both"/>
        <w:rPr>
          <w:rFonts w:ascii="Adobe Garamond Pro" w:hAnsi="Adobe Garamond Pro"/>
          <w:sz w:val="18"/>
          <w:szCs w:val="18"/>
          <w:lang w:val="bs-Latn-BA"/>
        </w:rPr>
      </w:pPr>
    </w:p>
    <w:p w:rsidR="00DA7527" w:rsidRPr="00DF5E2C" w:rsidRDefault="00DA7527" w:rsidP="00DA7527">
      <w:pPr>
        <w:pStyle w:val="FootnoteText"/>
        <w:jc w:val="both"/>
        <w:rPr>
          <w:rFonts w:ascii="Adobe Garamond Pro" w:hAnsi="Adobe Garamond Pro"/>
          <w:sz w:val="18"/>
          <w:szCs w:val="18"/>
          <w:lang w:val="bs-Latn-BA"/>
        </w:rPr>
      </w:pPr>
    </w:p>
    <w:p w:rsidR="00DA7527" w:rsidRPr="00DF5E2C" w:rsidRDefault="00DA7527" w:rsidP="00DA7527">
      <w:pPr>
        <w:pStyle w:val="FootnoteText"/>
        <w:jc w:val="both"/>
        <w:rPr>
          <w:rFonts w:ascii="Adobe Garamond Pro" w:hAnsi="Adobe Garamond Pro"/>
          <w:sz w:val="18"/>
          <w:szCs w:val="18"/>
          <w:lang w:val="bs-Latn-BA"/>
        </w:rPr>
      </w:pPr>
    </w:p>
  </w:footnote>
  <w:footnote w:id="4">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„Socijalna ekonomija predstavlja skup organizacija koje ne pripadaju javnom sektoru, funkcioniraju prema demokratskim načelima što podrazumijeva jednaka prava i obaveze svih članova, te provode poseban režim u pogledu vlasništva i raspodjele dobiti kojim se viškovi koriste za širenje organizacija, te poboljšanje njihovih usluga za članove i društvo“.</w:t>
      </w:r>
    </w:p>
    <w:p w:rsidR="00DA7527" w:rsidRPr="00DF5E2C" w:rsidRDefault="00DA7527" w:rsidP="00DA7527">
      <w:pPr>
        <w:pStyle w:val="FootnoteText"/>
        <w:rPr>
          <w:rFonts w:ascii="Adobe Garamond Pro" w:hAnsi="Adobe Garamond Pro"/>
          <w:sz w:val="18"/>
          <w:szCs w:val="18"/>
          <w:lang w:val="bs-Latn-BA"/>
        </w:rPr>
      </w:pPr>
    </w:p>
  </w:footnote>
  <w:footnote w:id="5">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Bodiroga-Vukobrat, Nada, Globalizacija prava versus europeizacija prava?, Zbornik Pravnog fakulteta Sveučilišta u Rijeci, Suppl., br.3, 575-595 (2003)</w:t>
      </w:r>
    </w:p>
  </w:footnote>
  <w:footnote w:id="6">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Izvještaj o napretku Bosne i Hercegovine u 2013., Strategija proširenja i glavni izazovi 2013-2014., COM (2013) 700, Brisel 2013. SWD (2013) 415 final</w:t>
      </w:r>
    </w:p>
  </w:footnote>
  <w:footnote w:id="7">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U prvoj polovini 2013. godine neto direktnih stranih investicija je gotovo utrostručen u odnosu na isti period prethodne godine, dok je vanjski javni dug porastao za 5,8% na godišnjem nivou. I pored određenih poboljšanja zabrinjava visina vanjskog debalansa, dok je način financiranja deficita doveo do povećanja bruto vanjskog javnog duga.</w:t>
      </w:r>
    </w:p>
  </w:footnote>
  <w:footnote w:id="8">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Stopa nezaposlenosti prema definiciji MOR-a za Bosnu i Hercegovinu u 2013. godini, Agencija za statistiku BiH. Potpuni godišnji indikatori na: </w:t>
      </w:r>
      <w:hyperlink r:id="rId1" w:history="1">
        <w:r w:rsidRPr="00DF5E2C">
          <w:rPr>
            <w:rStyle w:val="Hyperlink"/>
            <w:rFonts w:ascii="Adobe Garamond Pro" w:hAnsi="Adobe Garamond Pro"/>
            <w:color w:val="auto"/>
            <w:sz w:val="18"/>
            <w:szCs w:val="18"/>
            <w:u w:val="none"/>
            <w:lang w:val="bs-Latn-BA"/>
          </w:rPr>
          <w:t>www.bhas.ba</w:t>
        </w:r>
      </w:hyperlink>
    </w:p>
  </w:footnote>
  <w:footnote w:id="9">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U Republici Srpskoj usvojene su izmjene putem Zakona o izmjenama i dopunama Zakona o privrednim društvima Republike Srpske („Službeni glasnik Republike Srpske“, broj: 67/13 od 08. augusta 2013.) prema kojem je već smanjen zakonski minimum osnivačkog kapitala sa 2.000,00 KM na 1.000,00 KM u cilju podsticanja na povećanje broja osnivanja privrednih društava. U Federaciji BiH predložena rješenja su u fazi usvajanja u Parlamentu Federacije BiH.</w:t>
      </w:r>
    </w:p>
  </w:footnote>
  <w:footnote w:id="10">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Okvirni program EU za istraživanje i inovacije 2014-2020 – Horizon 2020, novi je program EU za istraživanje i inovacije, za period 2014-2020, a predstavlja jednu od akcija za razvoj i stvaranje novih radnih mjesta sa ukupnim budžetom od 80 milijardi eura. Horizon 2020 je financijski dokument koji provodi važan prioritet „Uniju inovacija“, inicijativu Strategije Evropa 2020 s ciljem razvoja konkurentnosti EU. Više na: http://ec.europa.eu/research/horizon2020/indexen.cfm?pq=h2020-documents </w:t>
      </w:r>
    </w:p>
  </w:footnote>
  <w:footnote w:id="11">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Strategija razvoja nauke u Bosni i Hercegovini 2010–2015., Vijeće ministara BiH, novembar 2009. str.12-14.</w:t>
      </w:r>
    </w:p>
  </w:footnote>
  <w:footnote w:id="12">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Bosna i Hercegovina troši 4 posto svog bruto domaćeg proizvoda na novčana davanja za socijalnu zaštitu koja se ne zasnivaju na osiguranju...BiH je jedan od najvećih potrošača u regionu Evrope i Centralne Azije“. Izvor Svjetska banka 2009.</w:t>
      </w:r>
    </w:p>
  </w:footnote>
  <w:footnote w:id="13">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Izvještaj o stanju životne sredine u Bosni i Hercegovini dostupan na:</w:t>
      </w:r>
    </w:p>
    <w:p w:rsidR="00DA7527" w:rsidRPr="00DF5E2C" w:rsidRDefault="00DA7527" w:rsidP="00DA7527">
      <w:pPr>
        <w:pStyle w:val="FootnoteText"/>
        <w:jc w:val="both"/>
        <w:rPr>
          <w:rFonts w:ascii="Adobe Garamond Pro" w:hAnsi="Adobe Garamond Pro"/>
          <w:sz w:val="18"/>
          <w:szCs w:val="18"/>
          <w:lang w:val="bs-Latn-BA"/>
        </w:rPr>
      </w:pPr>
      <w:r w:rsidRPr="00DF5E2C">
        <w:rPr>
          <w:rFonts w:ascii="Adobe Garamond Pro" w:hAnsi="Adobe Garamond Pro"/>
          <w:sz w:val="18"/>
          <w:szCs w:val="18"/>
          <w:lang w:val="bs-Latn-BA"/>
        </w:rPr>
        <w:t xml:space="preserve"> </w:t>
      </w:r>
      <w:hyperlink r:id="rId2" w:history="1">
        <w:r w:rsidRPr="00DF5E2C">
          <w:rPr>
            <w:rStyle w:val="Hyperlink"/>
            <w:rFonts w:ascii="Adobe Garamond Pro" w:hAnsi="Adobe Garamond Pro"/>
            <w:color w:val="auto"/>
            <w:sz w:val="18"/>
            <w:szCs w:val="18"/>
            <w:u w:val="none"/>
            <w:lang w:val="bs-Latn-BA"/>
          </w:rPr>
          <w:t>www.unep.ba/tl_files/unep_ba/PDFs/Izvještaj_prelom_BOS_10-2013_elektronski.pdf</w:t>
        </w:r>
      </w:hyperlink>
    </w:p>
  </w:footnote>
  <w:footnote w:id="14">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Ugovor o uspostavi Energetske zajednice („Službeni glasnik BiH-Međunarodni ugovori“, broj: 09/06), isti je na snazi od 01. jula 2006. i omogućava kreiranje internog tržišta za električnu energiju i gas u kojem učestvuje EU sa 8 ugovornih strana: Albanija, Bosna i Hercegovina, Crna Gora, Kosovo, Makedonija, Moldavija, Srbija i Ukrajina. U radu tijela Energetske zajednice učestvuje 17 zemalja iz Evropske unije.</w:t>
      </w:r>
    </w:p>
  </w:footnote>
  <w:footnote w:id="15">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Analiza nedostataka u oblasti politika socijalne zaštite i inkluzije u BiH, Unicef, Sarajevo, novembar 2013. Tabela 26 na str. 68. i Tabela 28 na str. 72.</w:t>
      </w:r>
    </w:p>
  </w:footnote>
  <w:footnote w:id="16">
    <w:p w:rsidR="00DA7527" w:rsidRPr="00DF5E2C" w:rsidRDefault="00DA7527" w:rsidP="00DA7527">
      <w:pPr>
        <w:pStyle w:val="FootnoteText"/>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Evropska komisija prati provođenje SSP-a i Privremenog sporazuma na sastancima Pododbora za inovacije, informaciono društvo, socijalnu politiku i javno zdravstvo.</w:t>
      </w:r>
    </w:p>
  </w:footnote>
  <w:footnote w:id="17">
    <w:p w:rsidR="00DA7527" w:rsidRPr="00DF5E2C" w:rsidRDefault="00DA7527" w:rsidP="00DA7527">
      <w:pPr>
        <w:pStyle w:val="FootnoteText"/>
        <w:shd w:val="clear" w:color="auto" w:fill="FFFFFF" w:themeFill="background1"/>
        <w:jc w:val="both"/>
        <w:rPr>
          <w:rFonts w:ascii="Adobe Garamond Pro" w:hAnsi="Adobe Garamond Pro"/>
          <w:sz w:val="18"/>
          <w:szCs w:val="18"/>
          <w:lang w:val="bs-Latn-BA"/>
        </w:rPr>
      </w:pPr>
      <w:r w:rsidRPr="00DF5E2C">
        <w:rPr>
          <w:rStyle w:val="FootnoteReference"/>
          <w:rFonts w:ascii="Adobe Garamond Pro" w:hAnsi="Adobe Garamond Pro"/>
          <w:sz w:val="18"/>
          <w:szCs w:val="18"/>
          <w:lang w:val="bs-Latn-BA"/>
        </w:rPr>
        <w:footnoteRef/>
      </w:r>
      <w:r w:rsidRPr="00DF5E2C">
        <w:rPr>
          <w:rFonts w:ascii="Adobe Garamond Pro" w:hAnsi="Adobe Garamond Pro"/>
          <w:sz w:val="18"/>
          <w:szCs w:val="18"/>
          <w:lang w:val="bs-Latn-BA"/>
        </w:rPr>
        <w:t xml:space="preserve"> Zakon o sistemu državne pomoći usvojen je u februaru 2012., objavljen u „Službenom glasniku BiH“, broj: 10/12 od 07.02.2012., a stupio na snagu 15.02.2012. Devet mjeseci kasnije, 27.11.2012. u Ministarstvu vanjske trgovine i ekonomskih odnosa BiH održana je konstitutivna sjednica Vijeća za državnu pomoć BiH. Ovim su u BiH stvoreni temelji sistema državne pomoći. Zakon prati standarde i zahtjeve EU jer smo prihvatili da pravila konkurencije i državne pomoći Unije imaju direktno djelovanje u pravnom sistemu BiH. Usljed problema u vezi sa funkcioniranjem Vijeća za državnu pomoć državne institucije su djelimično provele samo tri od sedam preporuka u periodu od dvije godine. Funkcioniranje Vijeća nadzirati će i dalje Evropska komisija i o tome će obaviještavati Vijeće i Evropski parlament u Izvještajima o napretku Bosne i Hercegovine.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60254"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Amela Čolić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254" w:rsidRPr="00960254" w:rsidRDefault="00960254" w:rsidP="00960254">
    <w:pPr>
      <w:pBdr>
        <w:bottom w:val="single" w:sz="4" w:space="1" w:color="auto"/>
      </w:pBdr>
      <w:spacing w:after="0" w:line="240" w:lineRule="auto"/>
      <w:jc w:val="right"/>
      <w:rPr>
        <w:rFonts w:ascii="Adobe Garamond Pro" w:hAnsi="Adobe Garamond Pro" w:cs="Times New Roman"/>
        <w:sz w:val="20"/>
        <w:szCs w:val="20"/>
      </w:rPr>
    </w:pPr>
    <w:r w:rsidRPr="00960254">
      <w:rPr>
        <w:rFonts w:ascii="Adobe Garamond Pro" w:hAnsi="Adobe Garamond Pro" w:cs="Times New Roman"/>
        <w:sz w:val="20"/>
        <w:szCs w:val="20"/>
        <w:shd w:val="clear" w:color="auto" w:fill="FFFFFF" w:themeFill="background1"/>
      </w:rPr>
      <w:t>Strategija Evropa 2020:</w:t>
    </w:r>
    <w:r w:rsidRPr="00960254">
      <w:rPr>
        <w:rFonts w:ascii="Adobe Garamond Pro" w:hAnsi="Adobe Garamond Pro" w:cs="Times New Roman"/>
        <w:sz w:val="20"/>
        <w:szCs w:val="20"/>
      </w:rPr>
      <w:t xml:space="preserve"> </w:t>
    </w:r>
    <w:r w:rsidRPr="00960254">
      <w:rPr>
        <w:rFonts w:ascii="Adobe Garamond Pro" w:hAnsi="Adobe Garamond Pro" w:cs="Times New Roman"/>
        <w:sz w:val="20"/>
        <w:szCs w:val="20"/>
        <w:shd w:val="clear" w:color="auto" w:fill="FFFFFF" w:themeFill="background1"/>
      </w:rPr>
      <w:t>Perspektive, izazovi i posebne preporuke za Bosnu i Hercegovinu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A25F6"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960254">
      <w:rPr>
        <w:rFonts w:ascii="Adobe Garamond Pro" w:hAnsi="Adobe Garamond Pro" w:cs="Times New Roman"/>
        <w:b/>
        <w:sz w:val="20"/>
        <w:szCs w:val="20"/>
        <w:lang w:val="bs-Latn-BA"/>
      </w:rPr>
      <w:t>PREGLEDNI</w:t>
    </w:r>
    <w:r w:rsidR="00D85967" w:rsidRPr="00D85967">
      <w:rPr>
        <w:rFonts w:ascii="Adobe Garamond Pro" w:hAnsi="Adobe Garamond Pro" w:cs="Times New Roman"/>
        <w:b/>
        <w:sz w:val="20"/>
        <w:szCs w:val="20"/>
        <w:lang w:val="bs-Latn-BA"/>
      </w:rPr>
      <w:t xml:space="preserve"> NAUČNI RAD</w:t>
    </w:r>
  </w:p>
  <w:p w:rsidR="00FF280B" w:rsidRPr="00960254" w:rsidRDefault="00960254" w:rsidP="00960254">
    <w:pPr>
      <w:pStyle w:val="Header"/>
      <w:jc w:val="right"/>
      <w:rPr>
        <w:rFonts w:ascii="Adobe Garamond Pro" w:hAnsi="Adobe Garamond Pro" w:cs="Times New Roman"/>
        <w:sz w:val="20"/>
        <w:szCs w:val="20"/>
      </w:rPr>
    </w:pPr>
    <w:r w:rsidRPr="00960254">
      <w:rPr>
        <w:rFonts w:ascii="Adobe Garamond Pro" w:hAnsi="Adobe Garamond Pro" w:cs="Times New Roman"/>
        <w:sz w:val="20"/>
        <w:szCs w:val="20"/>
      </w:rPr>
      <w:t>UDK 341.217.02(4-672EU:497.11)</w:t>
    </w:r>
  </w:p>
  <w:p w:rsidR="00960254" w:rsidRPr="00960254" w:rsidRDefault="00960254" w:rsidP="00960254">
    <w:pPr>
      <w:pStyle w:val="Header"/>
      <w:jc w:val="right"/>
      <w:rPr>
        <w:rFonts w:ascii="Adobe Garamond Pro" w:hAnsi="Adobe Garamond Pro" w:cs="Times New Roman"/>
        <w:sz w:val="20"/>
        <w:szCs w:val="20"/>
      </w:rPr>
    </w:pPr>
    <w:r w:rsidRPr="00960254">
      <w:rPr>
        <w:rFonts w:ascii="Adobe Garamond Pro" w:hAnsi="Adobe Garamond Pro" w:cs="Times New Roman"/>
        <w:sz w:val="20"/>
        <w:szCs w:val="20"/>
      </w:rPr>
      <w:t>UDK 341.176(4-672EU)</w:t>
    </w:r>
  </w:p>
  <w:p w:rsidR="00960254" w:rsidRPr="00960254" w:rsidRDefault="00960254" w:rsidP="00960254">
    <w:pPr>
      <w:pStyle w:val="Header"/>
      <w:jc w:val="right"/>
      <w:rPr>
        <w:rFonts w:ascii="Adobe Garamond Pro" w:hAnsi="Adobe Garamond Pro"/>
        <w:sz w:val="20"/>
        <w:szCs w:val="20"/>
      </w:rPr>
    </w:pPr>
    <w:r w:rsidRPr="00960254">
      <w:rPr>
        <w:rFonts w:ascii="Adobe Garamond Pro" w:hAnsi="Adobe Garamond Pro" w:cs="Times New Roman"/>
        <w:sz w:val="20"/>
        <w:szCs w:val="20"/>
      </w:rPr>
      <w:t>UDK 341.232(4-672EU)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2A22BE"/>
    <w:multiLevelType w:val="hybridMultilevel"/>
    <w:tmpl w:val="108642A2"/>
    <w:lvl w:ilvl="0" w:tplc="47E81DC8">
      <w:start w:val="1"/>
      <w:numFmt w:val="bullet"/>
      <w:lvlText w:val=""/>
      <w:lvlJc w:val="left"/>
      <w:pPr>
        <w:ind w:left="765" w:hanging="360"/>
      </w:pPr>
      <w:rPr>
        <w:rFonts w:ascii="Symbol" w:hAnsi="Symbol"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4154BBF"/>
    <w:multiLevelType w:val="hybridMultilevel"/>
    <w:tmpl w:val="2FB810E0"/>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27F3C7A"/>
    <w:multiLevelType w:val="hybridMultilevel"/>
    <w:tmpl w:val="C9E4EAA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D71C1D"/>
    <w:multiLevelType w:val="hybridMultilevel"/>
    <w:tmpl w:val="606A5720"/>
    <w:lvl w:ilvl="0" w:tplc="141A0001">
      <w:start w:val="1"/>
      <w:numFmt w:val="bullet"/>
      <w:lvlText w:val=""/>
      <w:lvlJc w:val="left"/>
      <w:pPr>
        <w:ind w:left="720" w:hanging="360"/>
      </w:pPr>
      <w:rPr>
        <w:rFonts w:ascii="Symbol" w:hAnsi="Symbol" w:hint="default"/>
        <w:b/>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472A5294"/>
    <w:multiLevelType w:val="hybridMultilevel"/>
    <w:tmpl w:val="7B3E7D18"/>
    <w:lvl w:ilvl="0" w:tplc="141A0001">
      <w:start w:val="1"/>
      <w:numFmt w:val="bullet"/>
      <w:lvlText w:val=""/>
      <w:lvlJc w:val="left"/>
      <w:pPr>
        <w:ind w:left="765" w:hanging="360"/>
      </w:pPr>
      <w:rPr>
        <w:rFonts w:ascii="Symbol" w:hAnsi="Symbol"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20">
    <w:nsid w:val="47E54ED2"/>
    <w:multiLevelType w:val="hybridMultilevel"/>
    <w:tmpl w:val="7190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D34C41"/>
    <w:multiLevelType w:val="hybridMultilevel"/>
    <w:tmpl w:val="4D2E5DB4"/>
    <w:lvl w:ilvl="0" w:tplc="141A0001">
      <w:start w:val="1"/>
      <w:numFmt w:val="bullet"/>
      <w:lvlText w:val=""/>
      <w:lvlJc w:val="left"/>
      <w:pPr>
        <w:ind w:left="720" w:hanging="360"/>
      </w:pPr>
      <w:rPr>
        <w:rFonts w:ascii="Symbol" w:hAnsi="Symbol" w:hint="default"/>
        <w:b/>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502557E4"/>
    <w:multiLevelType w:val="multilevel"/>
    <w:tmpl w:val="FE826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7883561"/>
    <w:multiLevelType w:val="hybridMultilevel"/>
    <w:tmpl w:val="1FE4B2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6BD05191"/>
    <w:multiLevelType w:val="hybridMultilevel"/>
    <w:tmpl w:val="E67E0824"/>
    <w:lvl w:ilvl="0" w:tplc="070804A6">
      <w:numFmt w:val="bullet"/>
      <w:lvlText w:val="-"/>
      <w:lvlJc w:val="left"/>
      <w:pPr>
        <w:ind w:left="720" w:hanging="360"/>
      </w:pPr>
      <w:rPr>
        <w:rFonts w:ascii="Times New Roman" w:eastAsiaTheme="minorHAnsi" w:hAnsi="Times New Roman" w:cs="Times New Roman" w:hint="default"/>
        <w:b/>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41">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7C366570"/>
    <w:multiLevelType w:val="hybridMultilevel"/>
    <w:tmpl w:val="92AAF2E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F193422"/>
    <w:multiLevelType w:val="hybridMultilevel"/>
    <w:tmpl w:val="4FC82D22"/>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5"/>
  </w:num>
  <w:num w:numId="4">
    <w:abstractNumId w:val="11"/>
  </w:num>
  <w:num w:numId="5">
    <w:abstractNumId w:val="38"/>
  </w:num>
  <w:num w:numId="6">
    <w:abstractNumId w:val="4"/>
  </w:num>
  <w:num w:numId="7">
    <w:abstractNumId w:val="8"/>
  </w:num>
  <w:num w:numId="8">
    <w:abstractNumId w:val="14"/>
  </w:num>
  <w:num w:numId="9">
    <w:abstractNumId w:val="21"/>
  </w:num>
  <w:num w:numId="10">
    <w:abstractNumId w:val="12"/>
  </w:num>
  <w:num w:numId="11">
    <w:abstractNumId w:val="6"/>
  </w:num>
  <w:num w:numId="12">
    <w:abstractNumId w:val="13"/>
  </w:num>
  <w:num w:numId="13">
    <w:abstractNumId w:val="39"/>
  </w:num>
  <w:num w:numId="14">
    <w:abstractNumId w:val="5"/>
  </w:num>
  <w:num w:numId="15">
    <w:abstractNumId w:val="1"/>
  </w:num>
  <w:num w:numId="16">
    <w:abstractNumId w:val="7"/>
  </w:num>
  <w:num w:numId="17">
    <w:abstractNumId w:val="9"/>
  </w:num>
  <w:num w:numId="18">
    <w:abstractNumId w:val="27"/>
  </w:num>
  <w:num w:numId="19">
    <w:abstractNumId w:val="17"/>
  </w:num>
  <w:num w:numId="20">
    <w:abstractNumId w:val="15"/>
  </w:num>
  <w:num w:numId="21">
    <w:abstractNumId w:val="34"/>
  </w:num>
  <w:num w:numId="22">
    <w:abstractNumId w:val="0"/>
  </w:num>
  <w:num w:numId="23">
    <w:abstractNumId w:val="41"/>
  </w:num>
  <w:num w:numId="24">
    <w:abstractNumId w:val="24"/>
  </w:num>
  <w:num w:numId="25">
    <w:abstractNumId w:val="23"/>
  </w:num>
  <w:num w:numId="26">
    <w:abstractNumId w:val="37"/>
  </w:num>
  <w:num w:numId="27">
    <w:abstractNumId w:val="40"/>
  </w:num>
  <w:num w:numId="28">
    <w:abstractNumId w:val="33"/>
  </w:num>
  <w:num w:numId="29">
    <w:abstractNumId w:val="42"/>
  </w:num>
  <w:num w:numId="30">
    <w:abstractNumId w:val="29"/>
  </w:num>
  <w:num w:numId="31">
    <w:abstractNumId w:val="30"/>
  </w:num>
  <w:num w:numId="32">
    <w:abstractNumId w:val="32"/>
  </w:num>
  <w:num w:numId="33">
    <w:abstractNumId w:val="22"/>
  </w:num>
  <w:num w:numId="34">
    <w:abstractNumId w:val="26"/>
  </w:num>
  <w:num w:numId="35">
    <w:abstractNumId w:val="20"/>
  </w:num>
  <w:num w:numId="36">
    <w:abstractNumId w:val="36"/>
  </w:num>
  <w:num w:numId="37">
    <w:abstractNumId w:val="43"/>
  </w:num>
  <w:num w:numId="38">
    <w:abstractNumId w:val="44"/>
  </w:num>
  <w:num w:numId="39">
    <w:abstractNumId w:val="10"/>
  </w:num>
  <w:num w:numId="40">
    <w:abstractNumId w:val="2"/>
  </w:num>
  <w:num w:numId="41">
    <w:abstractNumId w:val="19"/>
  </w:num>
  <w:num w:numId="42">
    <w:abstractNumId w:val="18"/>
  </w:num>
  <w:num w:numId="43">
    <w:abstractNumId w:val="25"/>
  </w:num>
  <w:num w:numId="44">
    <w:abstractNumId w:val="16"/>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3602">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31146"/>
    <w:rsid w:val="001374C4"/>
    <w:rsid w:val="00144A6F"/>
    <w:rsid w:val="0016554A"/>
    <w:rsid w:val="00170728"/>
    <w:rsid w:val="001959A4"/>
    <w:rsid w:val="001A4B4E"/>
    <w:rsid w:val="001B0A65"/>
    <w:rsid w:val="001C6DC9"/>
    <w:rsid w:val="001D4039"/>
    <w:rsid w:val="001F0AD6"/>
    <w:rsid w:val="002002DE"/>
    <w:rsid w:val="00205247"/>
    <w:rsid w:val="0023078B"/>
    <w:rsid w:val="00230AB1"/>
    <w:rsid w:val="002478E7"/>
    <w:rsid w:val="00260E15"/>
    <w:rsid w:val="00264C3A"/>
    <w:rsid w:val="00266546"/>
    <w:rsid w:val="002675B4"/>
    <w:rsid w:val="002715B8"/>
    <w:rsid w:val="00295E18"/>
    <w:rsid w:val="002A04A4"/>
    <w:rsid w:val="002A4A58"/>
    <w:rsid w:val="002D2430"/>
    <w:rsid w:val="002D5F3F"/>
    <w:rsid w:val="002E55E2"/>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346A2"/>
    <w:rsid w:val="00552896"/>
    <w:rsid w:val="00556080"/>
    <w:rsid w:val="00560AF8"/>
    <w:rsid w:val="005706BE"/>
    <w:rsid w:val="00571462"/>
    <w:rsid w:val="0057627F"/>
    <w:rsid w:val="00592DA0"/>
    <w:rsid w:val="00596A8C"/>
    <w:rsid w:val="005B3CF2"/>
    <w:rsid w:val="005B43FA"/>
    <w:rsid w:val="005C0F1F"/>
    <w:rsid w:val="005D698D"/>
    <w:rsid w:val="005E23E9"/>
    <w:rsid w:val="00602D3F"/>
    <w:rsid w:val="0060537C"/>
    <w:rsid w:val="00613D8A"/>
    <w:rsid w:val="00613E74"/>
    <w:rsid w:val="00616D06"/>
    <w:rsid w:val="00620829"/>
    <w:rsid w:val="00625381"/>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057C"/>
    <w:rsid w:val="007933BA"/>
    <w:rsid w:val="007A561A"/>
    <w:rsid w:val="007B3197"/>
    <w:rsid w:val="007B51BE"/>
    <w:rsid w:val="007B7B96"/>
    <w:rsid w:val="007C24B3"/>
    <w:rsid w:val="007C52C4"/>
    <w:rsid w:val="007D053A"/>
    <w:rsid w:val="007D1016"/>
    <w:rsid w:val="007D6BA9"/>
    <w:rsid w:val="007E3554"/>
    <w:rsid w:val="007E4538"/>
    <w:rsid w:val="0081074D"/>
    <w:rsid w:val="00810B71"/>
    <w:rsid w:val="00815E51"/>
    <w:rsid w:val="00821579"/>
    <w:rsid w:val="008225F3"/>
    <w:rsid w:val="008358CA"/>
    <w:rsid w:val="00850431"/>
    <w:rsid w:val="00860F7D"/>
    <w:rsid w:val="008627D2"/>
    <w:rsid w:val="00866181"/>
    <w:rsid w:val="008945B7"/>
    <w:rsid w:val="008A1803"/>
    <w:rsid w:val="008B1D50"/>
    <w:rsid w:val="008C4302"/>
    <w:rsid w:val="009063AF"/>
    <w:rsid w:val="00932021"/>
    <w:rsid w:val="00942EF2"/>
    <w:rsid w:val="009469F4"/>
    <w:rsid w:val="00946D5B"/>
    <w:rsid w:val="009548B8"/>
    <w:rsid w:val="00960254"/>
    <w:rsid w:val="00970A7F"/>
    <w:rsid w:val="00977EC3"/>
    <w:rsid w:val="00977F0F"/>
    <w:rsid w:val="009866B4"/>
    <w:rsid w:val="0099111C"/>
    <w:rsid w:val="00994CB2"/>
    <w:rsid w:val="00996510"/>
    <w:rsid w:val="009A25F6"/>
    <w:rsid w:val="009D12E0"/>
    <w:rsid w:val="009E3956"/>
    <w:rsid w:val="009F6487"/>
    <w:rsid w:val="00A1095F"/>
    <w:rsid w:val="00A14817"/>
    <w:rsid w:val="00A40D8E"/>
    <w:rsid w:val="00A458A5"/>
    <w:rsid w:val="00A54D12"/>
    <w:rsid w:val="00A73AFF"/>
    <w:rsid w:val="00A76D41"/>
    <w:rsid w:val="00A83BDB"/>
    <w:rsid w:val="00A933D8"/>
    <w:rsid w:val="00A9388F"/>
    <w:rsid w:val="00AA3155"/>
    <w:rsid w:val="00AC5885"/>
    <w:rsid w:val="00AD05B4"/>
    <w:rsid w:val="00AD0E8A"/>
    <w:rsid w:val="00AD4A1F"/>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75A89"/>
    <w:rsid w:val="00C91AFD"/>
    <w:rsid w:val="00CB5B2F"/>
    <w:rsid w:val="00CD34F5"/>
    <w:rsid w:val="00CD4D07"/>
    <w:rsid w:val="00CD7B71"/>
    <w:rsid w:val="00D02705"/>
    <w:rsid w:val="00D106B5"/>
    <w:rsid w:val="00D12AEB"/>
    <w:rsid w:val="00D13677"/>
    <w:rsid w:val="00D40931"/>
    <w:rsid w:val="00D53755"/>
    <w:rsid w:val="00D54356"/>
    <w:rsid w:val="00D56704"/>
    <w:rsid w:val="00D76604"/>
    <w:rsid w:val="00D85967"/>
    <w:rsid w:val="00D92C4B"/>
    <w:rsid w:val="00D93FE7"/>
    <w:rsid w:val="00D9549C"/>
    <w:rsid w:val="00D97725"/>
    <w:rsid w:val="00DA7527"/>
    <w:rsid w:val="00DB73D7"/>
    <w:rsid w:val="00DC3D12"/>
    <w:rsid w:val="00DC55CE"/>
    <w:rsid w:val="00DD0343"/>
    <w:rsid w:val="00DE357D"/>
    <w:rsid w:val="00DF5E2C"/>
    <w:rsid w:val="00DF646E"/>
    <w:rsid w:val="00E02286"/>
    <w:rsid w:val="00E030D6"/>
    <w:rsid w:val="00E1458F"/>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50830"/>
    <w:rsid w:val="00F8020D"/>
    <w:rsid w:val="00F81670"/>
    <w:rsid w:val="00F9432A"/>
    <w:rsid w:val="00F94BCA"/>
    <w:rsid w:val="00F9528C"/>
    <w:rsid w:val="00FA1370"/>
    <w:rsid w:val="00FA7F26"/>
    <w:rsid w:val="00FB1BA5"/>
    <w:rsid w:val="00FC23CB"/>
    <w:rsid w:val="00FC6CAD"/>
    <w:rsid w:val="00FE0EB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i.ba/bos/sadr&#382;aj/dokumenti/struktura_upravljanja_dr&#382;avom_u_BiH_pdf" TargetMode="External"/><Relationship Id="rId13" Type="http://schemas.openxmlformats.org/officeDocument/2006/relationships/hyperlink" Target="http://ec.europa.eu/europe2020/index_en.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icef.org/bih/ba/GAPanaliza.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ba/tl_files/unep_ba/PDFs/Izvje&#353;taj_prelom_BOS_10-2013_elektronski.pdf" TargetMode="External"/><Relationship Id="rId5" Type="http://schemas.openxmlformats.org/officeDocument/2006/relationships/webSettings" Target="webSettings.xml"/><Relationship Id="rId15" Type="http://schemas.openxmlformats.org/officeDocument/2006/relationships/hyperlink" Target="http://www.imo.hr/files/EU2020-Samard&#382;ija.PDF" TargetMode="External"/><Relationship Id="rId23" Type="http://schemas.openxmlformats.org/officeDocument/2006/relationships/theme" Target="theme/theme1.xml"/><Relationship Id="rId10" Type="http://schemas.openxmlformats.org/officeDocument/2006/relationships/hyperlink" Target="http://ec.europa.eu/research/horizon2020/indexen.cfm?pq=h2020-docu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invest-in-research/pdf/download_en/aho_report.pdf" TargetMode="External"/><Relationship Id="rId14" Type="http://schemas.openxmlformats.org/officeDocument/2006/relationships/hyperlink" Target="http://www.vpi.ba/bos/u_fokusu.htm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p.ba/tl_files/unep_ba/PDFs/Izvje&#353;taj_prelom_BOS_10-2013_elektronski.pdf" TargetMode="External"/><Relationship Id="rId1" Type="http://schemas.openxmlformats.org/officeDocument/2006/relationships/hyperlink" Target="http://www.bhas.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4577</Words>
  <Characters>26094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41</cp:revision>
  <dcterms:created xsi:type="dcterms:W3CDTF">2014-04-10T20:22:00Z</dcterms:created>
  <dcterms:modified xsi:type="dcterms:W3CDTF">2014-04-30T12:39:00Z</dcterms:modified>
</cp:coreProperties>
</file>