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E42784" w:rsidRDefault="00391C9A" w:rsidP="00E42784">
      <w:pPr>
        <w:spacing w:after="0" w:line="240" w:lineRule="auto"/>
        <w:jc w:val="center"/>
        <w:rPr>
          <w:rFonts w:ascii="Adobe Garamond Pro" w:hAnsi="Adobe Garamond Pro" w:cs="Times New Roman"/>
          <w:b/>
          <w:sz w:val="28"/>
          <w:szCs w:val="28"/>
        </w:rPr>
      </w:pPr>
    </w:p>
    <w:p w:rsidR="002D2430" w:rsidRPr="00017CEA" w:rsidRDefault="00017CEA" w:rsidP="007E4538">
      <w:pPr>
        <w:autoSpaceDE w:val="0"/>
        <w:autoSpaceDN w:val="0"/>
        <w:adjustRightInd w:val="0"/>
        <w:spacing w:after="0" w:line="240" w:lineRule="auto"/>
        <w:jc w:val="center"/>
        <w:rPr>
          <w:rFonts w:ascii="Adobe Garamond Pro" w:hAnsi="Adobe Garamond Pro"/>
          <w:b/>
          <w:sz w:val="28"/>
          <w:szCs w:val="28"/>
        </w:rPr>
      </w:pPr>
      <w:r w:rsidRPr="00017CEA">
        <w:rPr>
          <w:rFonts w:ascii="Adobe Garamond Pro" w:hAnsi="Adobe Garamond Pro"/>
          <w:b/>
          <w:sz w:val="28"/>
          <w:szCs w:val="28"/>
        </w:rPr>
        <w:t xml:space="preserve">Kontumacione presude u pravima nekih europskih zemalja i </w:t>
      </w:r>
      <w:r>
        <w:rPr>
          <w:rFonts w:ascii="Adobe Garamond Pro" w:hAnsi="Adobe Garamond Pro"/>
          <w:b/>
          <w:sz w:val="28"/>
          <w:szCs w:val="28"/>
        </w:rPr>
        <w:t>S</w:t>
      </w:r>
      <w:r w:rsidRPr="00017CEA">
        <w:rPr>
          <w:rFonts w:ascii="Adobe Garamond Pro" w:hAnsi="Adobe Garamond Pro"/>
          <w:b/>
          <w:sz w:val="28"/>
          <w:szCs w:val="28"/>
        </w:rPr>
        <w:t xml:space="preserve">jedinjenih </w:t>
      </w:r>
      <w:r>
        <w:rPr>
          <w:rFonts w:ascii="Adobe Garamond Pro" w:hAnsi="Adobe Garamond Pro"/>
          <w:b/>
          <w:sz w:val="28"/>
          <w:szCs w:val="28"/>
        </w:rPr>
        <w:t>a</w:t>
      </w:r>
      <w:r w:rsidRPr="00017CEA">
        <w:rPr>
          <w:rFonts w:ascii="Adobe Garamond Pro" w:hAnsi="Adobe Garamond Pro"/>
          <w:b/>
          <w:sz w:val="28"/>
          <w:szCs w:val="28"/>
        </w:rPr>
        <w:t xml:space="preserve">meričkih </w:t>
      </w:r>
      <w:r>
        <w:rPr>
          <w:rFonts w:ascii="Adobe Garamond Pro" w:hAnsi="Adobe Garamond Pro"/>
          <w:b/>
          <w:sz w:val="28"/>
          <w:szCs w:val="28"/>
        </w:rPr>
        <w:t>d</w:t>
      </w:r>
      <w:r w:rsidRPr="00017CEA">
        <w:rPr>
          <w:rFonts w:ascii="Adobe Garamond Pro" w:hAnsi="Adobe Garamond Pro"/>
          <w:b/>
          <w:sz w:val="28"/>
          <w:szCs w:val="28"/>
        </w:rPr>
        <w:t>ržava</w:t>
      </w:r>
    </w:p>
    <w:p w:rsidR="00017CEA" w:rsidRPr="00406E3A" w:rsidRDefault="00017CEA" w:rsidP="007E4538">
      <w:pPr>
        <w:autoSpaceDE w:val="0"/>
        <w:autoSpaceDN w:val="0"/>
        <w:adjustRightInd w:val="0"/>
        <w:spacing w:after="0" w:line="240" w:lineRule="auto"/>
        <w:jc w:val="center"/>
        <w:rPr>
          <w:rFonts w:ascii="Adobe Garamond Pro" w:hAnsi="Adobe Garamond Pro" w:cs="Times New Roman"/>
          <w:lang w:val="bs-Latn-BA"/>
        </w:rPr>
      </w:pPr>
    </w:p>
    <w:p w:rsidR="00E42784" w:rsidRDefault="00017CEA"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Dr</w:t>
      </w:r>
      <w:r w:rsidR="00E42784">
        <w:rPr>
          <w:rFonts w:ascii="Adobe Garamond Pro" w:hAnsi="Adobe Garamond Pro"/>
          <w:b/>
        </w:rPr>
        <w:t>.</w:t>
      </w:r>
      <w:r>
        <w:rPr>
          <w:rFonts w:ascii="Adobe Garamond Pro" w:hAnsi="Adobe Garamond Pro"/>
          <w:b/>
        </w:rPr>
        <w:t xml:space="preserve"> sci. Muhamed Cimirotić</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DD330A" w:rsidP="002D2430">
      <w:pPr>
        <w:pStyle w:val="NoSpacing"/>
        <w:jc w:val="both"/>
        <w:rPr>
          <w:rFonts w:ascii="Adobe Garamond Pro" w:eastAsia="Times New Roman" w:hAnsi="Adobe Garamond Pro" w:cs="Garamond"/>
          <w:b/>
          <w:color w:val="000000"/>
          <w:lang w:val="bs-Latn-BA"/>
        </w:rPr>
      </w:pPr>
      <w:r w:rsidRPr="00DD330A">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89.3pt;z-index:251657216;mso-width-relative:margin;mso-height-relative:margin" filled="f" stroked="f">
            <v:textbox style="mso-next-textbox:#_x0000_s1030">
              <w:txbxContent>
                <w:p w:rsidR="00FF280B" w:rsidRPr="00017CEA" w:rsidRDefault="00BD0D1C" w:rsidP="00017CEA">
                  <w:pPr>
                    <w:spacing w:after="0" w:line="240" w:lineRule="auto"/>
                    <w:jc w:val="both"/>
                    <w:rPr>
                      <w:rFonts w:ascii="Adobe Garamond Pro" w:hAnsi="Adobe Garamond Pro"/>
                      <w:i/>
                      <w:sz w:val="20"/>
                      <w:szCs w:val="20"/>
                    </w:rPr>
                  </w:pPr>
                  <w:r w:rsidRPr="00017CEA">
                    <w:rPr>
                      <w:rFonts w:ascii="Adobe Garamond Pro" w:hAnsi="Adobe Garamond Pro" w:cs="Times New Roman"/>
                      <w:b/>
                      <w:i/>
                      <w:sz w:val="20"/>
                      <w:szCs w:val="20"/>
                      <w:lang w:val="hr-BA"/>
                    </w:rPr>
                    <w:t>Sažetak</w:t>
                  </w:r>
                  <w:r w:rsidR="00FF280B" w:rsidRPr="00017CEA">
                    <w:rPr>
                      <w:rFonts w:ascii="Adobe Garamond Pro" w:hAnsi="Adobe Garamond Pro" w:cs="Times New Roman"/>
                      <w:b/>
                      <w:i/>
                      <w:sz w:val="20"/>
                      <w:szCs w:val="20"/>
                      <w:lang w:val="hr-BA"/>
                    </w:rPr>
                    <w:t xml:space="preserve">: </w:t>
                  </w:r>
                  <w:r w:rsidR="00017CEA" w:rsidRPr="00017CEA">
                    <w:rPr>
                      <w:rFonts w:ascii="Adobe Garamond Pro" w:hAnsi="Adobe Garamond Pro"/>
                      <w:i/>
                      <w:sz w:val="20"/>
                      <w:szCs w:val="20"/>
                    </w:rPr>
                    <w:t>U svim epohama historijskog razvoja građanskog suđenja bilo je prisutno pasivno držanje stranaka u postupku, a naročito tuženika. S obzirom na štetan uticaj pasivnosti stranaka na tok i okončanje postupka suđenja, to se oduvijek pred zakonodavce postavljalo pitanje kako reagovati na pasivnost stranaka - kako je preventirati ili sankcionisati, odnosno kakav smisao presumirati njihovom pasivnom držanju, a ponajprije držanju tuženika. Jedan od procesnih instrumenata za rješavanje toga „problema“ je upravo mogućnost donošenja kontumacione presude. U radu su izloženi tipovi ove presude u pravu nekih europskih zemalja i Sjedinjenih Američkih Država sa naglaskom na pretpostavke za njihovo donošenje i pobijanje, te procjena u kojoj mjeri ova sudska odluka u domaćem pravu udovoljava njenoj zamišljenoj svrsi i da li je djelotvoran propisani način njenog pobijanja u pravu Federacije BiH.</w:t>
                  </w:r>
                </w:p>
              </w:txbxContent>
            </v:textbox>
          </v:shape>
        </w:pict>
      </w:r>
      <w:r w:rsidRPr="00DD330A">
        <w:rPr>
          <w:rFonts w:ascii="Adobe Garamond Pro" w:hAnsi="Adobe Garamond Pro"/>
          <w:i/>
          <w:noProof/>
          <w:lang w:val="bs-Latn-BA" w:eastAsia="bs-Latn-BA"/>
        </w:rPr>
        <w:pict>
          <v:rect id="_x0000_s1035" style="position:absolute;left:0;text-align:left;margin-left:-107.2pt;margin-top:4.2pt;width:340.6pt;height:221.1pt;z-index:-251658240" fillcolor="#f2f2f2 [3052]" stroked="f"/>
        </w:pict>
      </w:r>
      <w:r w:rsidRPr="00DD330A">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017CEA" w:rsidRPr="00017CEA" w:rsidRDefault="00017CEA" w:rsidP="00017CEA">
                  <w:pPr>
                    <w:spacing w:after="0" w:line="240" w:lineRule="auto"/>
                    <w:rPr>
                      <w:rFonts w:ascii="Adobe Garamond Pro" w:hAnsi="Adobe Garamond Pro"/>
                      <w:i/>
                      <w:sz w:val="20"/>
                      <w:szCs w:val="20"/>
                    </w:rPr>
                  </w:pPr>
                  <w:r w:rsidRPr="00017CEA">
                    <w:rPr>
                      <w:rFonts w:ascii="Adobe Garamond Pro" w:hAnsi="Adobe Garamond Pro"/>
                      <w:b/>
                      <w:i/>
                      <w:sz w:val="20"/>
                      <w:szCs w:val="20"/>
                    </w:rPr>
                    <w:t>Ključne riječi:</w:t>
                  </w:r>
                  <w:r w:rsidRPr="00017CEA">
                    <w:rPr>
                      <w:rFonts w:ascii="Adobe Garamond Pro" w:hAnsi="Adobe Garamond Pro"/>
                      <w:i/>
                      <w:sz w:val="20"/>
                      <w:szCs w:val="20"/>
                    </w:rPr>
                    <w:t xml:space="preserve">  kontumacija, kontumaciona presuda, povrat u prijašnje stanje, djelotvornost pravnog lijeka</w:t>
                  </w:r>
                </w:p>
                <w:p w:rsidR="00FF280B" w:rsidRPr="00017CEA" w:rsidRDefault="00FF280B" w:rsidP="00017CEA">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25264C" w:rsidRDefault="002D2430">
      <w:pPr>
        <w:rPr>
          <w:rFonts w:ascii="Adobe Garamond Pro" w:hAnsi="Adobe Garamond Pro" w:cs="Times New Roman"/>
          <w:sz w:val="24"/>
          <w:szCs w:val="24"/>
          <w:lang w:val="bs-Latn-BA"/>
        </w:rPr>
      </w:pPr>
      <w:r w:rsidRPr="004B6972">
        <w:rPr>
          <w:rFonts w:ascii="Adobe Garamond Pro" w:hAnsi="Adobe Garamond Pro" w:cs="Times New Roman"/>
          <w:sz w:val="24"/>
          <w:szCs w:val="24"/>
          <w:lang w:val="bs-Latn-BA"/>
        </w:rPr>
        <w:br w:type="page"/>
      </w:r>
      <w:r w:rsidR="00DD330A">
        <w:rPr>
          <w:rFonts w:ascii="Adobe Garamond Pro" w:hAnsi="Adobe Garamond Pro" w:cs="Times New Roman"/>
          <w:noProof/>
          <w:sz w:val="24"/>
          <w:szCs w:val="24"/>
          <w:lang w:val="bs-Latn-BA" w:eastAsia="bs-Latn-BA"/>
        </w:rPr>
        <w:lastRenderedPageBreak/>
        <w:pict>
          <v:shape id="_x0000_s1037" type="#_x0000_t202" style="position:absolute;margin-left:239.85pt;margin-top:-2.7pt;width:133.8pt;height:249.2pt;z-index:251659264;mso-width-relative:margin;mso-height-relative:margin" stroked="f" strokecolor="white [3212]">
            <v:textbox style="mso-next-textbox:#_x0000_s1037">
              <w:txbxContent>
                <w:p w:rsidR="0025264C" w:rsidRPr="0025264C" w:rsidRDefault="0025264C" w:rsidP="0025264C">
                  <w:pPr>
                    <w:spacing w:after="0" w:line="240" w:lineRule="auto"/>
                    <w:rPr>
                      <w:rFonts w:ascii="Adobe Garamond Pro" w:hAnsi="Adobe Garamond Pro"/>
                      <w:i/>
                      <w:sz w:val="20"/>
                      <w:szCs w:val="20"/>
                    </w:rPr>
                  </w:pPr>
                  <w:r w:rsidRPr="0025264C">
                    <w:rPr>
                      <w:rFonts w:ascii="Adobe Garamond Pro" w:hAnsi="Adobe Garamond Pro"/>
                      <w:b/>
                      <w:i/>
                      <w:sz w:val="20"/>
                      <w:szCs w:val="20"/>
                    </w:rPr>
                    <w:t>Keywords:</w:t>
                  </w:r>
                  <w:r w:rsidRPr="0025264C">
                    <w:rPr>
                      <w:rFonts w:ascii="Adobe Garamond Pro" w:hAnsi="Adobe Garamond Pro"/>
                      <w:i/>
                      <w:sz w:val="20"/>
                      <w:szCs w:val="20"/>
                    </w:rPr>
                    <w:t xml:space="preserve">  </w:t>
                  </w:r>
                  <w:r w:rsidRPr="0025264C">
                    <w:rPr>
                      <w:rFonts w:ascii="Adobe Garamond Pro" w:hAnsi="Adobe Garamond Pro"/>
                      <w:i/>
                      <w:sz w:val="20"/>
                      <w:szCs w:val="20"/>
                      <w:lang w:val="en-GB"/>
                    </w:rPr>
                    <w:t xml:space="preserve">contumacy, contumacy judgment, restitutio in integrum, </w:t>
                  </w:r>
                  <w:r w:rsidRPr="0025264C">
                    <w:rPr>
                      <w:rFonts w:ascii="Adobe Garamond Pro" w:hAnsi="Adobe Garamond Pro"/>
                      <w:i/>
                      <w:sz w:val="20"/>
                      <w:szCs w:val="20"/>
                    </w:rPr>
                    <w:t>effectiveness of remedies</w:t>
                  </w:r>
                </w:p>
                <w:p w:rsidR="0025264C" w:rsidRPr="0025264C" w:rsidRDefault="0025264C" w:rsidP="0025264C">
                  <w:pPr>
                    <w:spacing w:after="0" w:line="240" w:lineRule="auto"/>
                    <w:rPr>
                      <w:rFonts w:ascii="Adobe Garamond Pro" w:hAnsi="Adobe Garamond Pro"/>
                      <w:i/>
                      <w:sz w:val="20"/>
                      <w:szCs w:val="20"/>
                    </w:rPr>
                  </w:pPr>
                </w:p>
              </w:txbxContent>
            </v:textbox>
          </v:shape>
        </w:pict>
      </w:r>
      <w:r w:rsidR="00DD330A">
        <w:rPr>
          <w:rFonts w:ascii="Adobe Garamond Pro" w:hAnsi="Adobe Garamond Pro" w:cs="Times New Roman"/>
          <w:noProof/>
          <w:sz w:val="24"/>
          <w:szCs w:val="24"/>
          <w:lang w:val="bs-Latn-BA" w:eastAsia="bs-Latn-BA"/>
        </w:rPr>
        <w:pict>
          <v:rect id="_x0000_s1039" style="position:absolute;margin-left:-100.75pt;margin-top:-4.95pt;width:340.6pt;height:221.1pt;z-index:-251655168" fillcolor="#f2f2f2 [3052]" stroked="f"/>
        </w:pict>
      </w:r>
      <w:r w:rsidR="00DD330A">
        <w:rPr>
          <w:rFonts w:ascii="Adobe Garamond Pro" w:hAnsi="Adobe Garamond Pro" w:cs="Times New Roman"/>
          <w:noProof/>
          <w:sz w:val="24"/>
          <w:szCs w:val="24"/>
          <w:lang w:val="bs-Latn-BA" w:eastAsia="bs-Latn-BA"/>
        </w:rPr>
        <w:pict>
          <v:shape id="_x0000_s1038" type="#_x0000_t202" style="position:absolute;margin-left:-6.3pt;margin-top:-2.85pt;width:239.95pt;height:289.3pt;z-index:251660288;mso-width-relative:margin;mso-height-relative:margin" filled="f" stroked="f">
            <v:textbox style="mso-next-textbox:#_x0000_s1038">
              <w:txbxContent>
                <w:p w:rsidR="0025264C" w:rsidRPr="0025264C" w:rsidRDefault="0025264C" w:rsidP="0025264C">
                  <w:pPr>
                    <w:spacing w:after="0" w:line="240" w:lineRule="auto"/>
                    <w:jc w:val="both"/>
                    <w:rPr>
                      <w:rFonts w:ascii="Adobe Garamond Pro" w:hAnsi="Adobe Garamond Pro"/>
                      <w:i/>
                      <w:sz w:val="20"/>
                      <w:szCs w:val="20"/>
                    </w:rPr>
                  </w:pPr>
                  <w:r w:rsidRPr="0025264C">
                    <w:rPr>
                      <w:rFonts w:ascii="Adobe Garamond Pro" w:hAnsi="Adobe Garamond Pro" w:cs="Times New Roman"/>
                      <w:b/>
                      <w:i/>
                      <w:sz w:val="20"/>
                      <w:szCs w:val="20"/>
                      <w:lang w:val="hr-BA"/>
                    </w:rPr>
                    <w:t xml:space="preserve">Abstract: </w:t>
                  </w:r>
                  <w:r w:rsidRPr="0025264C">
                    <w:rPr>
                      <w:rFonts w:ascii="Adobe Garamond Pro" w:hAnsi="Adobe Garamond Pro"/>
                      <w:i/>
                      <w:sz w:val="20"/>
                      <w:szCs w:val="20"/>
                      <w:lang w:val="en-US"/>
                    </w:rPr>
                    <w:t>In all stages of historical development of civil trial, passive attitude of parties has been present during proceedings, especially a plaintiff`s attitude. Due to harmful influence of the parties` passivity during proceedings and completion of trial proceedings, the legislator`s question is how to react to the parties’ passivity – how to prevent and sanction it, i.e. what is the meaning of their passive attitude, especially the plaintiff`s attitude? One of the process instruments for solving the “problem“ is a possibility of reaching contumacy judgments. Types of this judgment of some European countries and the United States of America are presented in the paper with an emphasis on reaching and contesting them, as well as evaluation to what extent these court decisions in the law of Federation of Bosnia and Herzegovina meets its purpose, and effectiveness of domestic remedies</w:t>
                  </w:r>
                  <w:r w:rsidRPr="0025264C">
                    <w:rPr>
                      <w:rFonts w:ascii="Adobe Garamond Pro" w:hAnsi="Adobe Garamond Pro"/>
                      <w:i/>
                      <w:sz w:val="20"/>
                      <w:szCs w:val="20"/>
                    </w:rPr>
                    <w:t>.</w:t>
                  </w:r>
                </w:p>
              </w:txbxContent>
            </v:textbox>
          </v:shape>
        </w:pict>
      </w:r>
      <w:r w:rsidR="0025264C">
        <w:rPr>
          <w:rFonts w:ascii="Adobe Garamond Pro" w:hAnsi="Adobe Garamond Pro" w:cs="Times New Roman"/>
          <w:sz w:val="24"/>
          <w:szCs w:val="24"/>
          <w:lang w:val="bs-Latn-BA"/>
        </w:rPr>
        <w:br w:type="page"/>
      </w:r>
    </w:p>
    <w:p w:rsidR="00C10CE3" w:rsidRPr="00095944" w:rsidRDefault="00C10CE3" w:rsidP="00C10CE3">
      <w:pPr>
        <w:spacing w:after="0" w:line="240" w:lineRule="auto"/>
        <w:rPr>
          <w:rFonts w:ascii="Adobe Garamond Pro" w:hAnsi="Adobe Garamond Pro"/>
          <w:b/>
        </w:rPr>
      </w:pPr>
      <w:r w:rsidRPr="00095944">
        <w:rPr>
          <w:rFonts w:ascii="Adobe Garamond Pro" w:hAnsi="Adobe Garamond Pro"/>
          <w:b/>
        </w:rPr>
        <w:lastRenderedPageBreak/>
        <w:t>UVOD</w:t>
      </w:r>
    </w:p>
    <w:p w:rsidR="00C10CE3" w:rsidRPr="00095944" w:rsidRDefault="00C10CE3" w:rsidP="00C10CE3">
      <w:pPr>
        <w:spacing w:after="0" w:line="240" w:lineRule="auto"/>
        <w:rPr>
          <w:rFonts w:ascii="Adobe Garamond Pro" w:hAnsi="Adobe Garamond Pro"/>
          <w:b/>
          <w:sz w:val="20"/>
          <w:szCs w:val="20"/>
        </w:rPr>
      </w:pPr>
    </w:p>
    <w:p w:rsidR="00C10CE3" w:rsidRPr="00095944" w:rsidRDefault="00C10CE3" w:rsidP="00C10CE3">
      <w:pPr>
        <w:spacing w:after="0" w:line="240" w:lineRule="auto"/>
        <w:ind w:firstLine="720"/>
        <w:jc w:val="both"/>
        <w:rPr>
          <w:rFonts w:ascii="Adobe Garamond Pro" w:hAnsi="Adobe Garamond Pro"/>
          <w:i/>
          <w:sz w:val="20"/>
          <w:szCs w:val="20"/>
        </w:rPr>
      </w:pPr>
      <w:r w:rsidRPr="00095944">
        <w:rPr>
          <w:rFonts w:ascii="Adobe Garamond Pro" w:hAnsi="Adobe Garamond Pro"/>
          <w:sz w:val="20"/>
          <w:szCs w:val="20"/>
        </w:rPr>
        <w:t>Kontumacija</w:t>
      </w:r>
      <w:r w:rsidRPr="00095944">
        <w:rPr>
          <w:rStyle w:val="FootnoteReference"/>
          <w:rFonts w:ascii="Adobe Garamond Pro" w:hAnsi="Adobe Garamond Pro"/>
          <w:sz w:val="20"/>
          <w:szCs w:val="20"/>
        </w:rPr>
        <w:footnoteReference w:id="2"/>
      </w:r>
      <w:r w:rsidRPr="00095944">
        <w:rPr>
          <w:rFonts w:ascii="Adobe Garamond Pro" w:hAnsi="Adobe Garamond Pro"/>
          <w:sz w:val="20"/>
          <w:szCs w:val="20"/>
        </w:rPr>
        <w:t xml:space="preserve"> je značajan i interesantan institut  građanskog procesnog prava kako sa aspekta nastanka i razvoja tako i u pogledu njene prisutnosti u sudskoj praksi.</w:t>
      </w:r>
      <w:r w:rsidRPr="00095944">
        <w:rPr>
          <w:rStyle w:val="FootnoteReference"/>
          <w:rFonts w:ascii="Adobe Garamond Pro" w:hAnsi="Adobe Garamond Pro"/>
          <w:sz w:val="20"/>
          <w:szCs w:val="20"/>
        </w:rPr>
        <w:footnoteReference w:id="3"/>
      </w:r>
      <w:r w:rsidRPr="00095944">
        <w:rPr>
          <w:rFonts w:ascii="Adobe Garamond Pro" w:hAnsi="Adobe Garamond Pro"/>
          <w:sz w:val="20"/>
          <w:szCs w:val="20"/>
        </w:rPr>
        <w:t xml:space="preserve"> Općenito, kontumacija je nepoštivanje naredbi, a u sudskom postupku neodgovaranje na pozive suda i drugi oblik nepoštivanja suda. Posebna forma kontumacije je nepojavljivanje pred sudom uprkos pozivima, ili skrivanje stranke, odnosno izbjegavanje prijema poziva.</w:t>
      </w:r>
      <w:r w:rsidRPr="00095944">
        <w:rPr>
          <w:rStyle w:val="FootnoteReference"/>
          <w:rFonts w:ascii="Adobe Garamond Pro" w:hAnsi="Adobe Garamond Pro"/>
          <w:sz w:val="20"/>
          <w:szCs w:val="20"/>
        </w:rPr>
        <w:footnoteReference w:id="4"/>
      </w:r>
      <w:r w:rsidRPr="00095944">
        <w:rPr>
          <w:rFonts w:ascii="Adobe Garamond Pro" w:hAnsi="Adobe Garamond Pro"/>
          <w:sz w:val="20"/>
          <w:szCs w:val="20"/>
        </w:rPr>
        <w:t xml:space="preserve"> Ona je odbijanje ili namjerno propuštanje osobe koja je bila zakonito pozvana pred sud da se pojavi ili brani (odgovorom na tužbu) od onoga što joj se stavlja na teret.</w:t>
      </w:r>
      <w:r w:rsidRPr="00095944">
        <w:rPr>
          <w:rStyle w:val="FootnoteReference"/>
          <w:rFonts w:ascii="Adobe Garamond Pro" w:hAnsi="Adobe Garamond Pro"/>
          <w:sz w:val="20"/>
          <w:szCs w:val="20"/>
        </w:rPr>
        <w:footnoteReference w:id="5"/>
      </w:r>
      <w:r w:rsidRPr="00095944">
        <w:rPr>
          <w:rFonts w:ascii="Adobe Garamond Pro" w:hAnsi="Adobe Garamond Pro"/>
          <w:sz w:val="20"/>
          <w:szCs w:val="20"/>
        </w:rPr>
        <w:t xml:space="preserve"> Osoba koja se ponaša na opisane načine je </w:t>
      </w:r>
      <w:r w:rsidRPr="00095944">
        <w:rPr>
          <w:rFonts w:ascii="Adobe Garamond Pro" w:hAnsi="Adobe Garamond Pro"/>
          <w:i/>
          <w:sz w:val="20"/>
          <w:szCs w:val="20"/>
        </w:rPr>
        <w:t>contumax</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6"/>
      </w:r>
      <w:r w:rsidRPr="00095944">
        <w:rPr>
          <w:rFonts w:ascii="Adobe Garamond Pro" w:hAnsi="Adobe Garamond Pro"/>
          <w:sz w:val="20"/>
          <w:szCs w:val="20"/>
        </w:rPr>
        <w:t xml:space="preserve"> Pojam </w:t>
      </w:r>
      <w:r w:rsidRPr="00095944">
        <w:rPr>
          <w:rFonts w:ascii="Adobe Garamond Pro" w:hAnsi="Adobe Garamond Pro"/>
          <w:i/>
          <w:sz w:val="20"/>
          <w:szCs w:val="20"/>
        </w:rPr>
        <w:t>kontumacija</w:t>
      </w:r>
      <w:r w:rsidRPr="00095944">
        <w:rPr>
          <w:rFonts w:ascii="Adobe Garamond Pro" w:hAnsi="Adobe Garamond Pro"/>
          <w:sz w:val="20"/>
          <w:szCs w:val="20"/>
        </w:rPr>
        <w:t xml:space="preserve"> u pravnoj doktrini se upotrebljava dvosmisleno – kao </w:t>
      </w:r>
      <w:r w:rsidRPr="00095944">
        <w:rPr>
          <w:rFonts w:ascii="Adobe Garamond Pro" w:hAnsi="Adobe Garamond Pro"/>
          <w:i/>
          <w:sz w:val="20"/>
          <w:szCs w:val="20"/>
        </w:rPr>
        <w:t xml:space="preserve">propuštanje </w:t>
      </w:r>
      <w:r w:rsidRPr="00095944">
        <w:rPr>
          <w:rFonts w:ascii="Adobe Garamond Pro" w:hAnsi="Adobe Garamond Pro"/>
          <w:sz w:val="20"/>
          <w:szCs w:val="20"/>
        </w:rPr>
        <w:t>poduzimanja</w:t>
      </w:r>
      <w:r w:rsidRPr="00095944">
        <w:rPr>
          <w:rFonts w:ascii="Adobe Garamond Pro" w:hAnsi="Adobe Garamond Pro"/>
          <w:i/>
          <w:sz w:val="20"/>
          <w:szCs w:val="20"/>
        </w:rPr>
        <w:t xml:space="preserve"> </w:t>
      </w:r>
      <w:r w:rsidRPr="00095944">
        <w:rPr>
          <w:rFonts w:ascii="Adobe Garamond Pro" w:hAnsi="Adobe Garamond Pro"/>
          <w:sz w:val="20"/>
          <w:szCs w:val="20"/>
        </w:rPr>
        <w:t xml:space="preserve">parničnih radnji i kao </w:t>
      </w:r>
      <w:r w:rsidRPr="00095944">
        <w:rPr>
          <w:rFonts w:ascii="Adobe Garamond Pro" w:hAnsi="Adobe Garamond Pro"/>
          <w:i/>
          <w:sz w:val="20"/>
          <w:szCs w:val="20"/>
        </w:rPr>
        <w:t xml:space="preserve">posljedica ovog propuštanja. </w:t>
      </w:r>
    </w:p>
    <w:p w:rsidR="00C10CE3" w:rsidRPr="00095944" w:rsidRDefault="00C10CE3" w:rsidP="00C10CE3">
      <w:pPr>
        <w:spacing w:after="0" w:line="240" w:lineRule="auto"/>
        <w:ind w:firstLine="720"/>
        <w:jc w:val="both"/>
        <w:rPr>
          <w:rFonts w:ascii="Adobe Garamond Pro" w:hAnsi="Adobe Garamond Pro"/>
          <w:i/>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Kontumaciona presuda je važno sredstvo za ubrzanje postupka. Ona je presuda koja se donosi bez provođenja cjelokupnog postupka</w:t>
      </w:r>
      <w:r w:rsidRPr="00095944">
        <w:rPr>
          <w:rStyle w:val="FootnoteReference"/>
          <w:rFonts w:ascii="Adobe Garamond Pro" w:hAnsi="Adobe Garamond Pro"/>
          <w:sz w:val="20"/>
          <w:szCs w:val="20"/>
        </w:rPr>
        <w:footnoteReference w:id="7"/>
      </w:r>
      <w:r w:rsidRPr="00095944">
        <w:rPr>
          <w:rFonts w:ascii="Adobe Garamond Pro" w:hAnsi="Adobe Garamond Pro"/>
          <w:sz w:val="20"/>
          <w:szCs w:val="20"/>
        </w:rPr>
        <w:t xml:space="preserve">  kada tuženik propusti odgovoriti na tužbu ili pristupiti na ročište.</w:t>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U razmatranju pravne prirode kontumacione odluke, po pitanju značenja koje bi se moglo pripisati pasivnosti stranke, u pravnoj doktrini su se izdvojila tri stajališta. Prvo, stajalište o </w:t>
      </w:r>
      <w:r w:rsidRPr="00095944">
        <w:rPr>
          <w:rFonts w:ascii="Adobe Garamond Pro" w:hAnsi="Adobe Garamond Pro"/>
          <w:i/>
          <w:sz w:val="20"/>
          <w:szCs w:val="20"/>
        </w:rPr>
        <w:t xml:space="preserve">afirmativnoj litiskontestaciji </w:t>
      </w:r>
      <w:r w:rsidRPr="00095944">
        <w:rPr>
          <w:rFonts w:ascii="Adobe Garamond Pro" w:hAnsi="Adobe Garamond Pro"/>
          <w:sz w:val="20"/>
          <w:szCs w:val="20"/>
        </w:rPr>
        <w:t xml:space="preserve">pasivnosti stranke pridaje smisao priznanja činjeničnih navoda protivne strane </w:t>
      </w:r>
      <w:r w:rsidRPr="00095944">
        <w:rPr>
          <w:rFonts w:ascii="Adobe Garamond Pro" w:hAnsi="Adobe Garamond Pro"/>
          <w:i/>
          <w:sz w:val="20"/>
          <w:szCs w:val="20"/>
        </w:rPr>
        <w:t>(qui tacet consentire videtur</w:t>
      </w:r>
      <w:r w:rsidRPr="00095944">
        <w:rPr>
          <w:rFonts w:ascii="Adobe Garamond Pro" w:hAnsi="Adobe Garamond Pro"/>
          <w:sz w:val="20"/>
          <w:szCs w:val="20"/>
        </w:rPr>
        <w:t xml:space="preserve"> – ko šuti, priznaje). Drugo, stajalište o </w:t>
      </w:r>
      <w:r w:rsidRPr="00095944">
        <w:rPr>
          <w:rFonts w:ascii="Adobe Garamond Pro" w:hAnsi="Adobe Garamond Pro"/>
          <w:i/>
          <w:sz w:val="20"/>
          <w:szCs w:val="20"/>
        </w:rPr>
        <w:t>negativnoj litiskontestaciji</w:t>
      </w:r>
      <w:r w:rsidRPr="00095944">
        <w:rPr>
          <w:rFonts w:ascii="Adobe Garamond Pro" w:hAnsi="Adobe Garamond Pro"/>
          <w:sz w:val="20"/>
          <w:szCs w:val="20"/>
        </w:rPr>
        <w:t xml:space="preserve"> pasivnosti stranke pripisuje smisao osporavanja činjeničnih navoda protivnika </w:t>
      </w:r>
      <w:r w:rsidRPr="00095944">
        <w:rPr>
          <w:rFonts w:ascii="Adobe Garamond Pro" w:hAnsi="Adobe Garamond Pro"/>
          <w:i/>
          <w:sz w:val="20"/>
          <w:szCs w:val="20"/>
        </w:rPr>
        <w:t>(qui tacet negare videtur)</w:t>
      </w:r>
      <w:r w:rsidRPr="00095944">
        <w:rPr>
          <w:rFonts w:ascii="Adobe Garamond Pro" w:hAnsi="Adobe Garamond Pro"/>
          <w:sz w:val="20"/>
          <w:szCs w:val="20"/>
        </w:rPr>
        <w:t xml:space="preserve">, pa takve navode treba dokazati stranka koja se na njih poziva. Treće, </w:t>
      </w:r>
      <w:r w:rsidRPr="00095944">
        <w:rPr>
          <w:rFonts w:ascii="Adobe Garamond Pro" w:hAnsi="Adobe Garamond Pro"/>
          <w:i/>
          <w:sz w:val="20"/>
          <w:szCs w:val="20"/>
        </w:rPr>
        <w:t>neopredijeljeno ili neutralno stajalište</w:t>
      </w:r>
      <w:r w:rsidRPr="00095944">
        <w:rPr>
          <w:rFonts w:ascii="Adobe Garamond Pro" w:hAnsi="Adobe Garamond Pro"/>
          <w:sz w:val="20"/>
          <w:szCs w:val="20"/>
        </w:rPr>
        <w:t xml:space="preserve"> zagovara da volja pasivne stranke nije poznata pa time nije ni procesno relevantna.</w:t>
      </w:r>
      <w:r w:rsidRPr="00095944">
        <w:rPr>
          <w:rStyle w:val="FootnoteReference"/>
          <w:rFonts w:ascii="Adobe Garamond Pro" w:hAnsi="Adobe Garamond Pro"/>
          <w:i/>
          <w:sz w:val="20"/>
          <w:szCs w:val="20"/>
        </w:rPr>
        <w:footnoteReference w:id="8"/>
      </w:r>
      <w:r w:rsidRPr="00095944">
        <w:rPr>
          <w:rFonts w:ascii="Adobe Garamond Pro" w:hAnsi="Adobe Garamond Pro"/>
          <w:sz w:val="20"/>
          <w:szCs w:val="20"/>
        </w:rPr>
        <w:t xml:space="preserve"> U uporednom pravu, gotovo bez izuzetka je prihvaćeno stajalište o afirmativnoj (pozitivnoj) litiskontestaciji kao pozadini kontumacione presude. Tako je i u pravu u Bosni i Hercegovini. </w:t>
      </w: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lastRenderedPageBreak/>
        <w:t>U novijoj pravnoj doktrini na kontumacione odluke se gleda sa aspekta potreba savremenog građanskog postupka koji zahtijeva brži, efikasniji i jeftiniji postupak, ali koji će ipak održati temeljna načela postupka kao garancije strankama da ostvare traženu pravnu zaštitu, odnosno da se od traženja iste uspješno odbrane.</w:t>
      </w:r>
      <w:r w:rsidRPr="00095944">
        <w:rPr>
          <w:rStyle w:val="FootnoteReference"/>
          <w:rFonts w:ascii="Adobe Garamond Pro" w:hAnsi="Adobe Garamond Pro"/>
          <w:sz w:val="20"/>
          <w:szCs w:val="20"/>
        </w:rPr>
        <w:footnoteReference w:id="9"/>
      </w: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 xml:space="preserve"> </w:t>
      </w: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S obzirom na ograničenost prostora za izlaganje teme, u nastavku će biti izložene samo najbitnije crte kontumacionih presuda u pravu nekih europskih zemalja i Sjedinjenih Američkih Država.</w:t>
      </w:r>
    </w:p>
    <w:p w:rsidR="00C10CE3" w:rsidRPr="00095944" w:rsidRDefault="00C10CE3" w:rsidP="00C10CE3">
      <w:pPr>
        <w:spacing w:after="0" w:line="240" w:lineRule="auto"/>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t>Kontumacione presude u pravu Njemačke</w:t>
      </w:r>
    </w:p>
    <w:p w:rsidR="00C10CE3" w:rsidRPr="00095944" w:rsidRDefault="00C10CE3" w:rsidP="00C10CE3">
      <w:pPr>
        <w:spacing w:after="0" w:line="240" w:lineRule="auto"/>
        <w:jc w:val="both"/>
        <w:rPr>
          <w:rFonts w:ascii="Adobe Garamond Pro" w:hAnsi="Adobe Garamond Pro"/>
          <w:b/>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Njemački Zakon o parničnom postupku (</w:t>
      </w:r>
      <w:r w:rsidRPr="00095944">
        <w:rPr>
          <w:rFonts w:ascii="Adobe Garamond Pro" w:hAnsi="Adobe Garamond Pro"/>
          <w:i/>
          <w:sz w:val="20"/>
          <w:szCs w:val="20"/>
        </w:rPr>
        <w:t>Zivilprozessordnung</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10"/>
      </w:r>
      <w:r w:rsidRPr="00095944">
        <w:rPr>
          <w:rFonts w:ascii="Adobe Garamond Pro" w:hAnsi="Adobe Garamond Pro"/>
          <w:sz w:val="20"/>
          <w:szCs w:val="20"/>
        </w:rPr>
        <w:t xml:space="preserve"> poznaje više tipova kontumacionih presuda ovisno o procesnoj radnji koja je propuštena i od stranke koja je propušta.</w:t>
      </w:r>
      <w:r w:rsidRPr="00095944">
        <w:rPr>
          <w:rStyle w:val="FootnoteReference"/>
          <w:rFonts w:ascii="Adobe Garamond Pro" w:hAnsi="Adobe Garamond Pro"/>
          <w:sz w:val="20"/>
          <w:szCs w:val="20"/>
        </w:rPr>
        <w:footnoteReference w:id="11"/>
      </w:r>
      <w:r w:rsidRPr="00095944">
        <w:rPr>
          <w:rFonts w:ascii="Adobe Garamond Pro" w:hAnsi="Adobe Garamond Pro"/>
          <w:sz w:val="20"/>
          <w:szCs w:val="20"/>
        </w:rPr>
        <w:t xml:space="preserve"> Njemačko pravo pripada pravnoj tradiciji </w:t>
      </w:r>
      <w:r w:rsidRPr="00095944">
        <w:rPr>
          <w:rFonts w:ascii="Adobe Garamond Pro" w:hAnsi="Adobe Garamond Pro"/>
          <w:i/>
          <w:sz w:val="20"/>
          <w:szCs w:val="20"/>
        </w:rPr>
        <w:t>Civil Law</w:t>
      </w:r>
      <w:r w:rsidRPr="00095944">
        <w:rPr>
          <w:rFonts w:ascii="Adobe Garamond Pro" w:hAnsi="Adobe Garamond Pro"/>
          <w:sz w:val="20"/>
          <w:szCs w:val="20"/>
        </w:rPr>
        <w:t xml:space="preserve">  germanskog tipa.</w:t>
      </w:r>
    </w:p>
    <w:p w:rsidR="00C10CE3" w:rsidRDefault="00C10CE3" w:rsidP="00C10CE3">
      <w:pPr>
        <w:spacing w:after="0" w:line="240" w:lineRule="auto"/>
        <w:ind w:firstLine="720"/>
        <w:jc w:val="both"/>
        <w:rPr>
          <w:rFonts w:ascii="Adobe Garamond Pro" w:hAnsi="Adobe Garamond Pro"/>
          <w:sz w:val="20"/>
          <w:szCs w:val="20"/>
        </w:rPr>
      </w:pPr>
    </w:p>
    <w:p w:rsidR="00095944" w:rsidRDefault="00095944" w:rsidP="00C10CE3">
      <w:pPr>
        <w:spacing w:after="0" w:line="240" w:lineRule="auto"/>
        <w:ind w:firstLine="720"/>
        <w:jc w:val="both"/>
        <w:rPr>
          <w:rFonts w:ascii="Adobe Garamond Pro" w:hAnsi="Adobe Garamond Pro"/>
          <w:sz w:val="20"/>
          <w:szCs w:val="20"/>
        </w:rPr>
      </w:pPr>
    </w:p>
    <w:p w:rsidR="00095944" w:rsidRDefault="00095944" w:rsidP="00C10CE3">
      <w:pPr>
        <w:spacing w:after="0" w:line="240" w:lineRule="auto"/>
        <w:ind w:firstLine="720"/>
        <w:jc w:val="both"/>
        <w:rPr>
          <w:rFonts w:ascii="Adobe Garamond Pro" w:hAnsi="Adobe Garamond Pro"/>
          <w:sz w:val="20"/>
          <w:szCs w:val="20"/>
        </w:rPr>
      </w:pPr>
    </w:p>
    <w:p w:rsidR="00095944" w:rsidRDefault="00095944" w:rsidP="00C10CE3">
      <w:pPr>
        <w:spacing w:after="0" w:line="240" w:lineRule="auto"/>
        <w:ind w:firstLine="720"/>
        <w:jc w:val="both"/>
        <w:rPr>
          <w:rFonts w:ascii="Adobe Garamond Pro" w:hAnsi="Adobe Garamond Pro"/>
          <w:sz w:val="20"/>
          <w:szCs w:val="20"/>
        </w:rPr>
      </w:pPr>
    </w:p>
    <w:p w:rsidR="00095944" w:rsidRPr="00095944" w:rsidRDefault="00095944"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lastRenderedPageBreak/>
        <w:t xml:space="preserve">Presuda zbog propuštanja u pisanom pretpostupku - </w:t>
      </w:r>
      <w:r w:rsidRPr="00095944">
        <w:rPr>
          <w:rFonts w:ascii="Adobe Garamond Pro" w:hAnsi="Adobe Garamond Pro"/>
          <w:b/>
          <w:i/>
        </w:rPr>
        <w:t xml:space="preserve">Versäumnisurteil im schriftlichen Vorverfahren  </w:t>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Presuda u pisanom pretpostupku donosi se bez usmene rasprave, a može se donijeti samo ako je tuženik</w:t>
      </w:r>
      <w:r w:rsidRPr="00095944">
        <w:rPr>
          <w:rStyle w:val="FootnoteReference"/>
          <w:rFonts w:ascii="Adobe Garamond Pro" w:hAnsi="Adobe Garamond Pro"/>
          <w:sz w:val="20"/>
          <w:szCs w:val="20"/>
        </w:rPr>
        <w:footnoteReference w:id="12"/>
      </w:r>
      <w:r w:rsidRPr="00095944">
        <w:rPr>
          <w:rFonts w:ascii="Adobe Garamond Pro" w:hAnsi="Adobe Garamond Pro"/>
          <w:sz w:val="20"/>
          <w:szCs w:val="20"/>
        </w:rPr>
        <w:t xml:space="preserve"> zakasnio ili nije uopće dostavio sudu pisanu obavijest - izjavu o svojoj namjeri da se brani, odnosno da želi osporavati tužbu. Izjava tuženika o spremnosti osporavanja tužbe podnosi se u pisanoj formi (podnesak) koji se dostavlja sudu u roku od 2 sedmice. Ako je propušten rok za dostavu izjave o namjeri odbrane od tužbe, ne može se tražiti povrat u prijašnje stanje.</w:t>
      </w:r>
      <w:r w:rsidRPr="00095944">
        <w:rPr>
          <w:rStyle w:val="FootnoteReference"/>
          <w:rFonts w:ascii="Adobe Garamond Pro" w:hAnsi="Adobe Garamond Pro"/>
          <w:sz w:val="20"/>
          <w:szCs w:val="20"/>
        </w:rPr>
        <w:footnoteReference w:id="13"/>
      </w:r>
      <w:r w:rsidRPr="00095944">
        <w:rPr>
          <w:rFonts w:ascii="Adobe Garamond Pro" w:hAnsi="Adobe Garamond Pro"/>
          <w:sz w:val="20"/>
          <w:szCs w:val="20"/>
        </w:rPr>
        <w:t xml:space="preserve"> Ova presuda se donosi na prijedlog tužitelja, a ne po službenoj dužnosti.</w:t>
      </w:r>
      <w:r w:rsidRPr="00095944">
        <w:rPr>
          <w:rStyle w:val="FootnoteReference"/>
          <w:rFonts w:ascii="Adobe Garamond Pro" w:hAnsi="Adobe Garamond Pro"/>
          <w:sz w:val="20"/>
          <w:szCs w:val="20"/>
        </w:rPr>
        <w:footnoteReference w:id="14"/>
      </w:r>
      <w:r w:rsidRPr="00095944">
        <w:rPr>
          <w:rFonts w:ascii="Adobe Garamond Pro" w:hAnsi="Adobe Garamond Pro"/>
          <w:sz w:val="20"/>
          <w:szCs w:val="20"/>
        </w:rPr>
        <w:t xml:space="preserve"> Ona je najsličnija presudi zbog propuštanja odgovora na tužbu u pravu u BiH, iako izjava o namjeri odbrane nije odgovor na tužbu, ali su posljedice propuštanja dostave izjave iste kao i posljedice propuštanja odgovora na tužbu.</w:t>
      </w:r>
    </w:p>
    <w:p w:rsidR="00095944" w:rsidRPr="00095944" w:rsidRDefault="00095944"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Protiv presude zbog propuštanja dostave izjave o namjeri odbrane od tužbe tuženik ima pravo izjaviti prigovor –</w:t>
      </w:r>
      <w:r w:rsidRPr="00095944">
        <w:rPr>
          <w:rFonts w:ascii="Adobe Garamond Pro" w:hAnsi="Adobe Garamond Pro"/>
          <w:i/>
          <w:sz w:val="20"/>
          <w:szCs w:val="20"/>
        </w:rPr>
        <w:t xml:space="preserve"> Einspruch</w:t>
      </w:r>
      <w:r w:rsidRPr="00095944">
        <w:rPr>
          <w:rStyle w:val="FootnoteReference"/>
          <w:rFonts w:ascii="Adobe Garamond Pro" w:hAnsi="Adobe Garamond Pro"/>
          <w:sz w:val="20"/>
          <w:szCs w:val="20"/>
        </w:rPr>
        <w:footnoteReference w:id="15"/>
      </w:r>
      <w:r w:rsidRPr="00095944">
        <w:rPr>
          <w:rFonts w:ascii="Adobe Garamond Pro" w:hAnsi="Adobe Garamond Pro"/>
          <w:sz w:val="20"/>
          <w:szCs w:val="20"/>
        </w:rPr>
        <w:t xml:space="preserve"> u roku od 2 sedmice od dostave presude,</w:t>
      </w:r>
      <w:r w:rsidRPr="00095944">
        <w:rPr>
          <w:rStyle w:val="FootnoteReference"/>
          <w:rFonts w:ascii="Adobe Garamond Pro" w:hAnsi="Adobe Garamond Pro"/>
          <w:sz w:val="20"/>
          <w:szCs w:val="20"/>
        </w:rPr>
        <w:footnoteReference w:id="16"/>
      </w:r>
      <w:r w:rsidRPr="00095944">
        <w:rPr>
          <w:rFonts w:ascii="Adobe Garamond Pro" w:hAnsi="Adobe Garamond Pro"/>
          <w:sz w:val="20"/>
          <w:szCs w:val="20"/>
        </w:rPr>
        <w:t xml:space="preserve"> a on mora sadržavati oznaku da je prigovor, označenje presude koja se pobija, obim pobijanja, navode odbrane ili napada i procesne prigovore ako ih ima.</w:t>
      </w:r>
      <w:r w:rsidRPr="00095944">
        <w:rPr>
          <w:rStyle w:val="FootnoteReference"/>
          <w:rFonts w:ascii="Adobe Garamond Pro" w:hAnsi="Adobe Garamond Pro"/>
          <w:sz w:val="20"/>
          <w:szCs w:val="20"/>
        </w:rPr>
        <w:footnoteReference w:id="17"/>
      </w:r>
      <w:r w:rsidRPr="00095944">
        <w:rPr>
          <w:rFonts w:ascii="Adobe Garamond Pro" w:hAnsi="Adobe Garamond Pro"/>
          <w:sz w:val="20"/>
          <w:szCs w:val="20"/>
        </w:rPr>
        <w:t xml:space="preserve"> O prigovoru odlučuje sud koji je presudu donio.</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t xml:space="preserve">Presuda zbog izostanka tužitelja – </w:t>
      </w:r>
      <w:r w:rsidRPr="00095944">
        <w:rPr>
          <w:rFonts w:ascii="Adobe Garamond Pro" w:hAnsi="Adobe Garamond Pro"/>
          <w:b/>
          <w:i/>
        </w:rPr>
        <w:t>Versäumnisurteil gegen Kläger</w:t>
      </w:r>
      <w:r w:rsidRPr="00095944">
        <w:rPr>
          <w:rFonts w:ascii="Adobe Garamond Pro" w:hAnsi="Adobe Garamond Pro"/>
          <w:b/>
        </w:rPr>
        <w:t xml:space="preserve"> </w:t>
      </w:r>
    </w:p>
    <w:p w:rsidR="00C10CE3" w:rsidRPr="00095944" w:rsidRDefault="00C10CE3" w:rsidP="00C10CE3">
      <w:pPr>
        <w:spacing w:after="0" w:line="240" w:lineRule="auto"/>
        <w:ind w:firstLine="708"/>
        <w:jc w:val="both"/>
        <w:rPr>
          <w:rFonts w:ascii="Adobe Garamond Pro" w:hAnsi="Adobe Garamond Pro"/>
          <w:b/>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b/>
          <w:sz w:val="20"/>
          <w:szCs w:val="20"/>
        </w:rPr>
        <w:t xml:space="preserve"> </w:t>
      </w:r>
      <w:r w:rsidRPr="00095944">
        <w:rPr>
          <w:rFonts w:ascii="Adobe Garamond Pro" w:hAnsi="Adobe Garamond Pro"/>
          <w:sz w:val="20"/>
          <w:szCs w:val="20"/>
        </w:rPr>
        <w:t>Kad na usmenu spornu raspravu ne pristupi tužitelj, na zahtjev tuženika sud će presudom odbiti tužbeni zahtjev.</w:t>
      </w:r>
      <w:r w:rsidRPr="00095944">
        <w:rPr>
          <w:rStyle w:val="FootnoteReference"/>
          <w:rFonts w:ascii="Adobe Garamond Pro" w:hAnsi="Adobe Garamond Pro"/>
          <w:sz w:val="20"/>
          <w:szCs w:val="20"/>
        </w:rPr>
        <w:footnoteReference w:id="18"/>
      </w:r>
      <w:r w:rsidRPr="00095944">
        <w:rPr>
          <w:rFonts w:ascii="Adobe Garamond Pro" w:hAnsi="Adobe Garamond Pro"/>
          <w:sz w:val="20"/>
          <w:szCs w:val="20"/>
        </w:rPr>
        <w:t xml:space="preserve"> Sud će prvo ispitati da li je tužba dopuštena, a potom i ostale procesne pretpostavke. Ako je tužba nedopuštena, zahtjev će biti odbijen konačnom presudom, ali tada se ne radi o pravoj, već o nepravoj (</w:t>
      </w:r>
      <w:r w:rsidRPr="00095944">
        <w:rPr>
          <w:rFonts w:ascii="Adobe Garamond Pro" w:hAnsi="Adobe Garamond Pro"/>
          <w:i/>
          <w:sz w:val="20"/>
          <w:szCs w:val="20"/>
        </w:rPr>
        <w:t>unechte</w:t>
      </w:r>
      <w:r w:rsidRPr="00095944">
        <w:rPr>
          <w:rFonts w:ascii="Adobe Garamond Pro" w:hAnsi="Adobe Garamond Pro"/>
          <w:sz w:val="20"/>
          <w:szCs w:val="20"/>
        </w:rPr>
        <w:t>) presudi zbog izostanka koja ima učinak kontradiktorne, meritorne presude.</w:t>
      </w:r>
      <w:r w:rsidRPr="00095944">
        <w:rPr>
          <w:rStyle w:val="FootnoteReference"/>
          <w:rFonts w:ascii="Adobe Garamond Pro" w:hAnsi="Adobe Garamond Pro"/>
          <w:sz w:val="20"/>
          <w:szCs w:val="20"/>
        </w:rPr>
        <w:footnoteReference w:id="19"/>
      </w:r>
      <w:r w:rsidRPr="00095944">
        <w:rPr>
          <w:rFonts w:ascii="Adobe Garamond Pro" w:hAnsi="Adobe Garamond Pro"/>
          <w:sz w:val="20"/>
          <w:szCs w:val="20"/>
        </w:rPr>
        <w:t xml:space="preserve"> </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lastRenderedPageBreak/>
        <w:t>Ako je tužba dopuštena, a tuženik je predložio donošenje ove presude, sud će, bez daljeg raspravljanja i bez obzira na provedene radnje, donijeti pravu (</w:t>
      </w:r>
      <w:r w:rsidRPr="00095944">
        <w:rPr>
          <w:rFonts w:ascii="Adobe Garamond Pro" w:hAnsi="Adobe Garamond Pro"/>
          <w:i/>
          <w:sz w:val="20"/>
          <w:szCs w:val="20"/>
        </w:rPr>
        <w:t>echte</w:t>
      </w:r>
      <w:r w:rsidRPr="00095944">
        <w:rPr>
          <w:rFonts w:ascii="Adobe Garamond Pro" w:hAnsi="Adobe Garamond Pro"/>
          <w:sz w:val="20"/>
          <w:szCs w:val="20"/>
        </w:rPr>
        <w:t>) presudu zbog izostanka kojom se tužbeni zahtjev kao neosnovan odbija.</w:t>
      </w:r>
      <w:r w:rsidRPr="00095944">
        <w:rPr>
          <w:rStyle w:val="FootnoteReference"/>
          <w:rFonts w:ascii="Adobe Garamond Pro" w:hAnsi="Adobe Garamond Pro"/>
          <w:sz w:val="20"/>
          <w:szCs w:val="20"/>
        </w:rPr>
        <w:footnoteReference w:id="20"/>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rPr>
          <w:rFonts w:ascii="Adobe Garamond Pro" w:hAnsi="Adobe Garamond Pro"/>
          <w:b/>
          <w:i/>
        </w:rPr>
      </w:pPr>
      <w:r w:rsidRPr="00095944">
        <w:rPr>
          <w:rFonts w:ascii="Adobe Garamond Pro" w:hAnsi="Adobe Garamond Pro"/>
          <w:b/>
        </w:rPr>
        <w:t xml:space="preserve">Presuda zbog izostanka tuženika – </w:t>
      </w:r>
      <w:r w:rsidRPr="00095944">
        <w:rPr>
          <w:rFonts w:ascii="Adobe Garamond Pro" w:hAnsi="Adobe Garamond Pro"/>
          <w:b/>
          <w:i/>
        </w:rPr>
        <w:t xml:space="preserve">Versäumnisurteil gegen Beklagten </w:t>
      </w:r>
    </w:p>
    <w:p w:rsidR="00C10CE3" w:rsidRPr="00095944" w:rsidRDefault="00C10CE3" w:rsidP="00C10CE3">
      <w:pPr>
        <w:spacing w:after="0" w:line="240" w:lineRule="auto"/>
        <w:jc w:val="both"/>
        <w:rPr>
          <w:rFonts w:ascii="Adobe Garamond Pro" w:hAnsi="Adobe Garamond Pro"/>
          <w:b/>
          <w:sz w:val="20"/>
          <w:szCs w:val="20"/>
        </w:rPr>
      </w:pPr>
    </w:p>
    <w:p w:rsidR="00C10CE3" w:rsidRPr="00095944" w:rsidRDefault="00C10CE3" w:rsidP="00C10CE3">
      <w:pPr>
        <w:spacing w:after="0" w:line="240" w:lineRule="auto"/>
        <w:ind w:firstLine="708"/>
        <w:jc w:val="both"/>
        <w:rPr>
          <w:rFonts w:ascii="Adobe Garamond Pro" w:hAnsi="Adobe Garamond Pro"/>
          <w:b/>
          <w:sz w:val="20"/>
          <w:szCs w:val="20"/>
        </w:rPr>
      </w:pPr>
      <w:r w:rsidRPr="00095944">
        <w:rPr>
          <w:rFonts w:ascii="Adobe Garamond Pro" w:hAnsi="Adobe Garamond Pro"/>
          <w:sz w:val="20"/>
          <w:szCs w:val="20"/>
        </w:rPr>
        <w:t>Ako tuženik ne pristupi na usmenu raspravu, a prisutni tužitelj predloži donošenje presude zbog izostanka, usmeni navodi tužitelja će se smatrati priznatim od tuženika i sud će donijeti  presudu zbog izostanka kojom će usvojiti zahtjev tužitelja ako je on osnovan, a ako nije, sud će  zahtjev odbiti.</w:t>
      </w:r>
      <w:r w:rsidRPr="00095944">
        <w:rPr>
          <w:rStyle w:val="FootnoteReference"/>
          <w:rFonts w:ascii="Adobe Garamond Pro" w:hAnsi="Adobe Garamond Pro"/>
          <w:sz w:val="20"/>
          <w:szCs w:val="20"/>
        </w:rPr>
        <w:footnoteReference w:id="21"/>
      </w:r>
      <w:r w:rsidRPr="00095944">
        <w:rPr>
          <w:rFonts w:ascii="Adobe Garamond Pro" w:hAnsi="Adobe Garamond Pro"/>
          <w:sz w:val="20"/>
          <w:szCs w:val="20"/>
        </w:rPr>
        <w:t xml:space="preserve"> Prije donošenja presude sud će provjeriti dopuštenost tužbe, odnosno druge procesne pretpostavke. Ako nedostaje neka od propisanih pretpostavki ili ako, u slučaju sumnje, tužitelj ne može dokazati njeno postojanje, sud će odbiti tužbeni zahtjev nepravom (</w:t>
      </w:r>
      <w:r w:rsidRPr="00095944">
        <w:rPr>
          <w:rFonts w:ascii="Adobe Garamond Pro" w:hAnsi="Adobe Garamond Pro"/>
          <w:i/>
          <w:sz w:val="20"/>
          <w:szCs w:val="20"/>
        </w:rPr>
        <w:t>unechte</w:t>
      </w:r>
      <w:r w:rsidRPr="00095944">
        <w:rPr>
          <w:rFonts w:ascii="Adobe Garamond Pro" w:hAnsi="Adobe Garamond Pro"/>
          <w:sz w:val="20"/>
          <w:szCs w:val="20"/>
        </w:rPr>
        <w:t>) presudom zbog izostanka.</w:t>
      </w:r>
      <w:r w:rsidRPr="00095944">
        <w:rPr>
          <w:rStyle w:val="FootnoteReference"/>
          <w:rFonts w:ascii="Adobe Garamond Pro" w:hAnsi="Adobe Garamond Pro"/>
          <w:sz w:val="20"/>
          <w:szCs w:val="20"/>
        </w:rPr>
        <w:footnoteReference w:id="22"/>
      </w:r>
      <w:r w:rsidRPr="00095944">
        <w:rPr>
          <w:rFonts w:ascii="Adobe Garamond Pro" w:hAnsi="Adobe Garamond Pro"/>
          <w:sz w:val="20"/>
          <w:szCs w:val="20"/>
        </w:rPr>
        <w:t xml:space="preserve"> Kada stranka (tužitelj ili tuženik) pristupi na raspravu, ali neće da raspravlja, to se smatra kao da nije ni pristupila</w:t>
      </w:r>
      <w:r w:rsidRPr="00095944">
        <w:rPr>
          <w:rStyle w:val="FootnoteReference"/>
          <w:rFonts w:ascii="Adobe Garamond Pro" w:hAnsi="Adobe Garamond Pro"/>
          <w:sz w:val="20"/>
          <w:szCs w:val="20"/>
        </w:rPr>
        <w:footnoteReference w:id="23"/>
      </w:r>
      <w:r w:rsidRPr="00095944">
        <w:rPr>
          <w:rFonts w:ascii="Adobe Garamond Pro" w:hAnsi="Adobe Garamond Pro"/>
          <w:sz w:val="20"/>
          <w:szCs w:val="20"/>
        </w:rPr>
        <w:t xml:space="preserve"> pa se može donijeti presuda zbog izostanka.</w:t>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i/>
        </w:rPr>
      </w:pPr>
      <w:r w:rsidRPr="00095944">
        <w:rPr>
          <w:rFonts w:ascii="Adobe Garamond Pro" w:hAnsi="Adobe Garamond Pro"/>
          <w:b/>
        </w:rPr>
        <w:t xml:space="preserve">Druga presuda zbog izostanka – </w:t>
      </w:r>
      <w:r w:rsidRPr="00095944">
        <w:rPr>
          <w:rFonts w:ascii="Adobe Garamond Pro" w:hAnsi="Adobe Garamond Pro"/>
          <w:b/>
          <w:i/>
        </w:rPr>
        <w:t xml:space="preserve">Zweites Versäumnisurteil </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Druga presuda zbog izostanka je presuda kojom se odbija prigovor stranke koja je izostala sa ročišta za raspravljanje o njenom prigovoru protiv prve presude zbog izostanka, dakle, koja se donosi protiv stranke koja je dva puta zaredom izostala.</w:t>
      </w:r>
      <w:r w:rsidRPr="00095944">
        <w:rPr>
          <w:rStyle w:val="FootnoteReference"/>
          <w:rFonts w:ascii="Adobe Garamond Pro" w:hAnsi="Adobe Garamond Pro"/>
          <w:sz w:val="20"/>
          <w:szCs w:val="20"/>
        </w:rPr>
        <w:footnoteReference w:id="24"/>
      </w:r>
      <w:r w:rsidRPr="00095944">
        <w:rPr>
          <w:rFonts w:ascii="Adobe Garamond Pro" w:hAnsi="Adobe Garamond Pro"/>
          <w:sz w:val="20"/>
          <w:szCs w:val="20"/>
        </w:rPr>
        <w:t xml:space="preserve"> Ta presuda sprečava stranku koja je ponovo izostala da još više oteže parnicu, jer se ne može pobijati prigovorom.</w:t>
      </w:r>
      <w:r w:rsidRPr="00095944">
        <w:rPr>
          <w:rStyle w:val="FootnoteReference"/>
          <w:rFonts w:ascii="Adobe Garamond Pro" w:hAnsi="Adobe Garamond Pro"/>
          <w:sz w:val="20"/>
          <w:szCs w:val="20"/>
        </w:rPr>
        <w:footnoteReference w:id="25"/>
      </w:r>
      <w:r w:rsidRPr="00095944">
        <w:rPr>
          <w:rFonts w:ascii="Adobe Garamond Pro" w:hAnsi="Adobe Garamond Pro"/>
          <w:sz w:val="20"/>
          <w:szCs w:val="20"/>
        </w:rPr>
        <w:t xml:space="preserve"> Ona se može pobijati žalbom, ali uz ograničene žalbene razloge.</w:t>
      </w:r>
      <w:r w:rsidRPr="00095944">
        <w:rPr>
          <w:rStyle w:val="FootnoteReference"/>
          <w:rFonts w:ascii="Adobe Garamond Pro" w:hAnsi="Adobe Garamond Pro"/>
          <w:sz w:val="20"/>
          <w:szCs w:val="20"/>
        </w:rPr>
        <w:footnoteReference w:id="26"/>
      </w:r>
      <w:r w:rsidRPr="00095944">
        <w:rPr>
          <w:rFonts w:ascii="Adobe Garamond Pro" w:hAnsi="Adobe Garamond Pro"/>
          <w:sz w:val="20"/>
          <w:szCs w:val="20"/>
        </w:rPr>
        <w:t xml:space="preserve"> Druga presuda zbog izostanka je, kao i prva, meritorna presuda. Sud mora prije njenog donošenja provjeriti ne samo da li je podnosilac prigovora izostao, nego, po službenoj dužnosti, provjeriti postoje li i drugi propisani uvjeti  za  njeno donošenje.</w:t>
      </w:r>
      <w:r w:rsidRPr="00095944">
        <w:rPr>
          <w:rStyle w:val="FootnoteReference"/>
          <w:rFonts w:ascii="Adobe Garamond Pro" w:hAnsi="Adobe Garamond Pro"/>
          <w:sz w:val="20"/>
          <w:szCs w:val="20"/>
        </w:rPr>
        <w:footnoteReference w:id="27"/>
      </w:r>
      <w:r w:rsidRPr="00095944">
        <w:rPr>
          <w:rFonts w:ascii="Adobe Garamond Pro" w:hAnsi="Adobe Garamond Pro"/>
          <w:sz w:val="20"/>
          <w:szCs w:val="20"/>
        </w:rPr>
        <w:t xml:space="preserve">    </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rPr>
          <w:rFonts w:ascii="Adobe Garamond Pro" w:hAnsi="Adobe Garamond Pro"/>
          <w:b/>
          <w:i/>
        </w:rPr>
      </w:pPr>
      <w:r w:rsidRPr="00095944">
        <w:rPr>
          <w:rFonts w:ascii="Adobe Garamond Pro" w:hAnsi="Adobe Garamond Pro"/>
          <w:b/>
        </w:rPr>
        <w:lastRenderedPageBreak/>
        <w:t xml:space="preserve">Presudu zbog izostanka u žalbenom postupku - </w:t>
      </w:r>
      <w:r w:rsidRPr="00095944">
        <w:rPr>
          <w:rFonts w:ascii="Adobe Garamond Pro" w:hAnsi="Adobe Garamond Pro"/>
          <w:b/>
          <w:i/>
        </w:rPr>
        <w:t>Saumnis in der Berufungsverhandlung</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Kada podnositelj žalbe propusti žalbeno ročište, njegova žalba će na prijedlog protivne stranke biti odbijena presudom zbog izostanka . Ukoliko izostane protivnik žalitelja, a žalitelj zahtijeva presudu zbog izostanka, žalbeni sud udovoljit će osnovanoj žalbi donošenjem presude zbog izostanka, a neosnovanu žalbu će odbiti presudom. Žalba je osnovana ako usmeno izlaganje podnositelja žalbe na žalbenom ročištu opravdava žalbu.</w:t>
      </w:r>
      <w:r w:rsidRPr="00095944">
        <w:rPr>
          <w:rStyle w:val="FootnoteReference"/>
          <w:rFonts w:ascii="Adobe Garamond Pro" w:hAnsi="Adobe Garamond Pro"/>
          <w:sz w:val="20"/>
          <w:szCs w:val="20"/>
        </w:rPr>
        <w:footnoteReference w:id="28"/>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t>Kontumacione presude u  pravu Austrije</w:t>
      </w:r>
    </w:p>
    <w:p w:rsidR="00C10CE3" w:rsidRPr="00095944" w:rsidRDefault="00C10CE3" w:rsidP="00C10CE3">
      <w:pPr>
        <w:spacing w:after="0" w:line="240" w:lineRule="auto"/>
        <w:ind w:left="360"/>
        <w:jc w:val="both"/>
        <w:rPr>
          <w:rFonts w:ascii="Adobe Garamond Pro" w:hAnsi="Adobe Garamond Pro"/>
          <w:b/>
          <w:sz w:val="20"/>
          <w:szCs w:val="20"/>
        </w:rPr>
      </w:pPr>
    </w:p>
    <w:p w:rsidR="00C10CE3" w:rsidRPr="00095944" w:rsidRDefault="00C10CE3" w:rsidP="00C10CE3">
      <w:pPr>
        <w:spacing w:after="0" w:line="240" w:lineRule="auto"/>
        <w:ind w:firstLine="360"/>
        <w:jc w:val="both"/>
        <w:rPr>
          <w:rFonts w:ascii="Adobe Garamond Pro" w:hAnsi="Adobe Garamond Pro"/>
          <w:sz w:val="20"/>
          <w:szCs w:val="20"/>
        </w:rPr>
      </w:pPr>
      <w:r w:rsidRPr="00095944">
        <w:rPr>
          <w:rFonts w:ascii="Adobe Garamond Pro" w:hAnsi="Adobe Garamond Pro"/>
          <w:sz w:val="20"/>
          <w:szCs w:val="20"/>
        </w:rPr>
        <w:t xml:space="preserve">Austrijsko pravo pripada </w:t>
      </w:r>
      <w:r w:rsidRPr="00095944">
        <w:rPr>
          <w:rFonts w:ascii="Adobe Garamond Pro" w:hAnsi="Adobe Garamond Pro"/>
          <w:i/>
          <w:sz w:val="20"/>
          <w:szCs w:val="20"/>
        </w:rPr>
        <w:t>Civil Law</w:t>
      </w:r>
      <w:r w:rsidRPr="00095944">
        <w:rPr>
          <w:rFonts w:ascii="Adobe Garamond Pro" w:hAnsi="Adobe Garamond Pro"/>
          <w:sz w:val="20"/>
          <w:szCs w:val="20"/>
        </w:rPr>
        <w:t xml:space="preserve"> germanskog tipa. Izvori građanskog parničnog postupka su </w:t>
      </w:r>
      <w:r w:rsidRPr="00095944">
        <w:rPr>
          <w:rFonts w:ascii="Adobe Garamond Pro" w:hAnsi="Adobe Garamond Pro"/>
          <w:i/>
          <w:sz w:val="20"/>
          <w:szCs w:val="20"/>
        </w:rPr>
        <w:t>Jurisdiktionsnorm</w:t>
      </w:r>
      <w:r w:rsidRPr="00095944">
        <w:rPr>
          <w:rStyle w:val="FootnoteReference"/>
          <w:rFonts w:ascii="Adobe Garamond Pro" w:hAnsi="Adobe Garamond Pro"/>
          <w:i/>
          <w:sz w:val="20"/>
          <w:szCs w:val="20"/>
        </w:rPr>
        <w:footnoteReference w:id="29"/>
      </w:r>
      <w:r w:rsidRPr="00095944">
        <w:rPr>
          <w:rFonts w:ascii="Adobe Garamond Pro" w:hAnsi="Adobe Garamond Pro"/>
          <w:sz w:val="20"/>
          <w:szCs w:val="20"/>
        </w:rPr>
        <w:t xml:space="preserve"> i Zakon o parničnom postupku - </w:t>
      </w:r>
      <w:r w:rsidRPr="00095944">
        <w:rPr>
          <w:rFonts w:ascii="Adobe Garamond Pro" w:hAnsi="Adobe Garamond Pro"/>
          <w:i/>
          <w:sz w:val="20"/>
          <w:szCs w:val="20"/>
        </w:rPr>
        <w:t>Zivilprozessordnung</w:t>
      </w:r>
      <w:r w:rsidRPr="00095944">
        <w:rPr>
          <w:rStyle w:val="FootnoteReference"/>
          <w:rFonts w:ascii="Adobe Garamond Pro" w:hAnsi="Adobe Garamond Pro"/>
          <w:sz w:val="20"/>
          <w:szCs w:val="20"/>
        </w:rPr>
        <w:footnoteReference w:id="30"/>
      </w:r>
      <w:r w:rsidRPr="00095944">
        <w:rPr>
          <w:rFonts w:ascii="Adobe Garamond Pro" w:hAnsi="Adobe Garamond Pro"/>
          <w:sz w:val="20"/>
          <w:szCs w:val="20"/>
        </w:rPr>
        <w:t xml:space="preserve"> usvojen 1895. godine, a stupio na snagu 1898. godine. Ovaj zakon normira više tipova kontumacionih presuda.</w:t>
      </w:r>
    </w:p>
    <w:p w:rsidR="00C10CE3" w:rsidRPr="00095944" w:rsidRDefault="00C10CE3" w:rsidP="00C10CE3">
      <w:pPr>
        <w:spacing w:after="0" w:line="240" w:lineRule="auto"/>
        <w:ind w:firstLine="360"/>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t>Presuda zbog propuštanja odgovora na tužbu</w:t>
      </w:r>
    </w:p>
    <w:p w:rsidR="00C10CE3" w:rsidRPr="00095944" w:rsidRDefault="00C10CE3" w:rsidP="00C10CE3">
      <w:pPr>
        <w:spacing w:after="0" w:line="240" w:lineRule="auto"/>
        <w:ind w:firstLine="360"/>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 xml:space="preserve">Zakonski rok za dostavu odgovora na tužbu je 4 sedmice. Ako tuženik u ostavljenom roku ne dostavi odgovor na tužbu, sud će na prijedlog tužitelja donijeti presudu zbog propuštanja - </w:t>
      </w:r>
      <w:r w:rsidRPr="00095944">
        <w:rPr>
          <w:rFonts w:ascii="Adobe Garamond Pro" w:hAnsi="Adobe Garamond Pro"/>
          <w:i/>
          <w:sz w:val="20"/>
          <w:szCs w:val="20"/>
        </w:rPr>
        <w:t>Versäumungsurteil</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31"/>
      </w:r>
      <w:r w:rsidRPr="00095944">
        <w:rPr>
          <w:rFonts w:ascii="Adobe Garamond Pro" w:hAnsi="Adobe Garamond Pro"/>
          <w:sz w:val="20"/>
          <w:szCs w:val="20"/>
        </w:rPr>
        <w:t xml:space="preserve"> Činjenice navedene u tužbi smatraju se istinitim, osim ako su u suprotnosti sa  predloženim dokazima.</w:t>
      </w:r>
      <w:r w:rsidRPr="00095944">
        <w:rPr>
          <w:rStyle w:val="FootnoteReference"/>
          <w:rFonts w:ascii="Adobe Garamond Pro" w:hAnsi="Adobe Garamond Pro"/>
          <w:sz w:val="20"/>
          <w:szCs w:val="20"/>
        </w:rPr>
        <w:footnoteReference w:id="32"/>
      </w:r>
      <w:r w:rsidRPr="00095944">
        <w:rPr>
          <w:rFonts w:ascii="Adobe Garamond Pro" w:hAnsi="Adobe Garamond Pro"/>
          <w:sz w:val="20"/>
          <w:szCs w:val="20"/>
        </w:rPr>
        <w:t xml:space="preserve"> Ova presuda se može donijeti samo na prijedlog tužitelja, a nikako po službenoj dužnosti.</w:t>
      </w:r>
      <w:r w:rsidRPr="00095944">
        <w:rPr>
          <w:rStyle w:val="FootnoteReference"/>
          <w:rFonts w:ascii="Adobe Garamond Pro" w:hAnsi="Adobe Garamond Pro"/>
          <w:sz w:val="20"/>
          <w:szCs w:val="20"/>
        </w:rPr>
        <w:footnoteReference w:id="33"/>
      </w:r>
      <w:r w:rsidRPr="00095944">
        <w:rPr>
          <w:rFonts w:ascii="Adobe Garamond Pro" w:hAnsi="Adobe Garamond Pro"/>
          <w:sz w:val="20"/>
          <w:szCs w:val="20"/>
        </w:rPr>
        <w:t xml:space="preserve"> Prije donošenja presude zbog </w:t>
      </w:r>
      <w:r w:rsidRPr="00095944">
        <w:rPr>
          <w:rFonts w:ascii="Adobe Garamond Pro" w:hAnsi="Adobe Garamond Pro"/>
          <w:sz w:val="20"/>
          <w:szCs w:val="20"/>
        </w:rPr>
        <w:lastRenderedPageBreak/>
        <w:t>propuštanja sud mora provjeriti i utvrditi da postoje sve procesne pretpostavke na koje pazi po službenoj dužnosti.</w:t>
      </w:r>
      <w:r w:rsidRPr="00095944">
        <w:rPr>
          <w:rStyle w:val="FootnoteReference"/>
          <w:rFonts w:ascii="Adobe Garamond Pro" w:hAnsi="Adobe Garamond Pro"/>
          <w:sz w:val="20"/>
          <w:szCs w:val="20"/>
        </w:rPr>
        <w:footnoteReference w:id="34"/>
      </w:r>
      <w:r w:rsidRPr="00095944">
        <w:rPr>
          <w:rFonts w:ascii="Adobe Garamond Pro" w:hAnsi="Adobe Garamond Pro"/>
          <w:sz w:val="20"/>
          <w:szCs w:val="20"/>
        </w:rPr>
        <w:t xml:space="preserve"> Presuda zbog propuštanja se ne može donijeti u bračnim sporovima, u sporovima o utvrđivanju porijekla djeteta (očinstva i materinstva), u drugostepenom postupku, u arbitražnom postupku i u postupku o socijalnopravnim pitanjima.</w:t>
      </w:r>
      <w:r w:rsidRPr="00095944">
        <w:rPr>
          <w:rStyle w:val="FootnoteReference"/>
          <w:rFonts w:ascii="Adobe Garamond Pro" w:hAnsi="Adobe Garamond Pro"/>
          <w:sz w:val="20"/>
          <w:szCs w:val="20"/>
        </w:rPr>
        <w:footnoteReference w:id="35"/>
      </w:r>
      <w:r w:rsidRPr="00095944">
        <w:rPr>
          <w:rFonts w:ascii="Adobe Garamond Pro" w:hAnsi="Adobe Garamond Pro"/>
          <w:sz w:val="20"/>
          <w:szCs w:val="20"/>
        </w:rPr>
        <w:t xml:space="preserve"> U sporovima male vrijednosti do iznosa od 2.000 Euro, ako Akt EU br. 861/2007 o uvođenju </w:t>
      </w:r>
      <w:r w:rsidRPr="00095944">
        <w:rPr>
          <w:rFonts w:ascii="Adobe Garamond Pro" w:hAnsi="Adobe Garamond Pro"/>
          <w:i/>
          <w:sz w:val="20"/>
          <w:szCs w:val="20"/>
        </w:rPr>
        <w:t xml:space="preserve">Europskog postupka za sporove male vrijednosti </w:t>
      </w:r>
      <w:r w:rsidRPr="00095944">
        <w:rPr>
          <w:rFonts w:ascii="Adobe Garamond Pro" w:hAnsi="Adobe Garamond Pro"/>
          <w:sz w:val="20"/>
          <w:szCs w:val="20"/>
        </w:rPr>
        <w:t>(</w:t>
      </w:r>
      <w:r w:rsidRPr="00095944">
        <w:rPr>
          <w:rFonts w:ascii="Adobe Garamond Pro" w:hAnsi="Adobe Garamond Pro"/>
          <w:i/>
          <w:sz w:val="20"/>
          <w:szCs w:val="20"/>
        </w:rPr>
        <w:t>Europäisches Bagatellverfahren</w:t>
      </w:r>
      <w:r w:rsidRPr="00095944">
        <w:rPr>
          <w:rFonts w:ascii="Adobe Garamond Pro" w:hAnsi="Adobe Garamond Pro"/>
          <w:sz w:val="20"/>
          <w:szCs w:val="20"/>
        </w:rPr>
        <w:t>) ne propisuje drugačije, u postupku se primjenjuju važeći propisi Austrije. U tim slučajevima prvostepeni sud po službenoj dužnosti donosi presudu zbog propuštanja odgovora na tužbu (i izostanka) prema § 396 AZPO protiv koje je dopušten prigovor prema § 397-a  AZPO.</w:t>
      </w:r>
      <w:r w:rsidRPr="00095944">
        <w:rPr>
          <w:rStyle w:val="FootnoteReference"/>
          <w:rFonts w:ascii="Adobe Garamond Pro" w:hAnsi="Adobe Garamond Pro"/>
          <w:sz w:val="20"/>
          <w:szCs w:val="20"/>
        </w:rPr>
        <w:footnoteReference w:id="36"/>
      </w:r>
      <w:r w:rsidRPr="00095944">
        <w:rPr>
          <w:rFonts w:ascii="Adobe Garamond Pro" w:hAnsi="Adobe Garamond Pro"/>
          <w:sz w:val="20"/>
          <w:szCs w:val="20"/>
        </w:rPr>
        <w:t xml:space="preserve"> Protiv presude zbog propuštanja odgovora na tužbu tuženik može u roku 14 dana od dostave presude izjaviti prigovor (</w:t>
      </w:r>
      <w:r w:rsidRPr="00095944">
        <w:rPr>
          <w:rFonts w:ascii="Adobe Garamond Pro" w:hAnsi="Adobe Garamond Pro"/>
          <w:i/>
          <w:sz w:val="20"/>
          <w:szCs w:val="20"/>
        </w:rPr>
        <w:t xml:space="preserve">Widerspruch) </w:t>
      </w:r>
      <w:r w:rsidRPr="00095944">
        <w:rPr>
          <w:rFonts w:ascii="Adobe Garamond Pro" w:hAnsi="Adobe Garamond Pro"/>
          <w:sz w:val="20"/>
          <w:szCs w:val="20"/>
        </w:rPr>
        <w:t>u pismenom obliku. Time se ne dira u pravo tuženika na povrat u prijašnje stanje zbog propuštanja roka za odgovor na tužbu.</w:t>
      </w:r>
      <w:r w:rsidRPr="00095944">
        <w:rPr>
          <w:rStyle w:val="FootnoteReference"/>
          <w:rFonts w:ascii="Adobe Garamond Pro" w:hAnsi="Adobe Garamond Pro"/>
          <w:sz w:val="20"/>
          <w:szCs w:val="20"/>
        </w:rPr>
        <w:footnoteReference w:id="37"/>
      </w:r>
      <w:r w:rsidRPr="00095944">
        <w:rPr>
          <w:rFonts w:ascii="Adobe Garamond Pro" w:hAnsi="Adobe Garamond Pro"/>
          <w:sz w:val="20"/>
          <w:szCs w:val="20"/>
        </w:rPr>
        <w:t xml:space="preserve"> O prigovoru odlučuje sud koji je donio pobijanu presudu.</w:t>
      </w:r>
      <w:r w:rsidRPr="00095944">
        <w:rPr>
          <w:rStyle w:val="FootnoteReference"/>
          <w:rFonts w:ascii="Adobe Garamond Pro" w:hAnsi="Adobe Garamond Pro"/>
          <w:sz w:val="20"/>
          <w:szCs w:val="20"/>
        </w:rPr>
        <w:footnoteReference w:id="38"/>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rPr>
          <w:rFonts w:ascii="Adobe Garamond Pro" w:hAnsi="Adobe Garamond Pro"/>
          <w:b/>
        </w:rPr>
      </w:pPr>
      <w:r w:rsidRPr="00095944">
        <w:rPr>
          <w:rFonts w:ascii="Adobe Garamond Pro" w:hAnsi="Adobe Garamond Pro"/>
          <w:b/>
        </w:rPr>
        <w:t>Presuda zbog izostanka tuženika ili tužitelja s prvoga ročišta</w:t>
      </w:r>
    </w:p>
    <w:p w:rsidR="00C10CE3" w:rsidRPr="00095944" w:rsidRDefault="00C10CE3" w:rsidP="00C10CE3">
      <w:pPr>
        <w:spacing w:after="0" w:line="240" w:lineRule="auto"/>
        <w:ind w:firstLine="708"/>
        <w:jc w:val="both"/>
        <w:rPr>
          <w:rFonts w:ascii="Adobe Garamond Pro" w:hAnsi="Adobe Garamond Pro"/>
          <w:b/>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Tužitelj može zahtijevati donošenje tzv. pozitivne presude zbog izostanka (</w:t>
      </w:r>
      <w:r w:rsidRPr="00095944">
        <w:rPr>
          <w:rFonts w:ascii="Adobe Garamond Pro" w:hAnsi="Adobe Garamond Pro"/>
          <w:i/>
          <w:sz w:val="20"/>
          <w:szCs w:val="20"/>
        </w:rPr>
        <w:t>positives Versäumungsurteil)</w:t>
      </w:r>
      <w:r w:rsidRPr="00095944">
        <w:rPr>
          <w:rFonts w:ascii="Adobe Garamond Pro" w:hAnsi="Adobe Garamond Pro"/>
          <w:sz w:val="20"/>
          <w:szCs w:val="20"/>
        </w:rPr>
        <w:t xml:space="preserve"> protiv tuženika koji je izostao sa prvog ročišta. Sud je prethodno dužan utvrditi postojanje procesnih pretpostavki, izostanak tuženika i ocijeniti da li činjenični navodi tužbe upućuju na osnovanost zahtjeva. Kada utvrdi postojanje tih pretpostavki, sud će presudom zbog izostanka usvojiti tužbeni zahtjev, a u protivnom će ga odbiti.</w:t>
      </w:r>
      <w:r w:rsidRPr="00095944">
        <w:rPr>
          <w:rStyle w:val="FootnoteReference"/>
          <w:rFonts w:ascii="Adobe Garamond Pro" w:hAnsi="Adobe Garamond Pro"/>
          <w:sz w:val="20"/>
          <w:szCs w:val="20"/>
        </w:rPr>
        <w:footnoteReference w:id="39"/>
      </w:r>
      <w:r w:rsidRPr="00095944">
        <w:rPr>
          <w:rFonts w:ascii="Adobe Garamond Pro" w:hAnsi="Adobe Garamond Pro"/>
          <w:sz w:val="20"/>
          <w:szCs w:val="20"/>
        </w:rPr>
        <w:t xml:space="preserve"> </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Tuženik može predložiti da sud donese tzv. negativnu presudu zbog izostanka (</w:t>
      </w:r>
      <w:r w:rsidRPr="00095944">
        <w:rPr>
          <w:rFonts w:ascii="Adobe Garamond Pro" w:hAnsi="Adobe Garamond Pro"/>
          <w:i/>
          <w:sz w:val="20"/>
          <w:szCs w:val="20"/>
        </w:rPr>
        <w:t xml:space="preserve">negatives Versäumungsurteil) </w:t>
      </w:r>
      <w:r w:rsidRPr="00095944">
        <w:rPr>
          <w:rFonts w:ascii="Adobe Garamond Pro" w:hAnsi="Adobe Garamond Pro"/>
          <w:sz w:val="20"/>
          <w:szCs w:val="20"/>
        </w:rPr>
        <w:t>protiv tužitelja koji je izostao sa prvog ročišta, a za to mu je dovoljno da uz prijedlog istovremeno ospori tužbeni zahtjev.</w:t>
      </w:r>
      <w:r w:rsidRPr="00095944">
        <w:rPr>
          <w:rStyle w:val="FootnoteReference"/>
          <w:rFonts w:ascii="Adobe Garamond Pro" w:hAnsi="Adobe Garamond Pro"/>
          <w:sz w:val="20"/>
          <w:szCs w:val="20"/>
        </w:rPr>
        <w:footnoteReference w:id="40"/>
      </w:r>
      <w:r w:rsidRPr="00095944">
        <w:rPr>
          <w:rFonts w:ascii="Adobe Garamond Pro" w:hAnsi="Adobe Garamond Pro"/>
          <w:sz w:val="20"/>
          <w:szCs w:val="20"/>
        </w:rPr>
        <w:t xml:space="preserve"> U slučaju da ni jedna stranka ne predloži presudu zbog izostanka, nastupa mirovanje postupka.</w:t>
      </w:r>
      <w:r w:rsidRPr="00095944">
        <w:rPr>
          <w:rStyle w:val="FootnoteReference"/>
          <w:rFonts w:ascii="Adobe Garamond Pro" w:hAnsi="Adobe Garamond Pro"/>
          <w:sz w:val="20"/>
          <w:szCs w:val="20"/>
        </w:rPr>
        <w:footnoteReference w:id="41"/>
      </w:r>
    </w:p>
    <w:p w:rsidR="00C10CE3" w:rsidRDefault="00C10CE3" w:rsidP="00C10CE3">
      <w:pPr>
        <w:spacing w:after="0" w:line="240" w:lineRule="auto"/>
        <w:ind w:firstLine="720"/>
        <w:jc w:val="both"/>
        <w:rPr>
          <w:rFonts w:ascii="Adobe Garamond Pro" w:hAnsi="Adobe Garamond Pro"/>
          <w:sz w:val="20"/>
          <w:szCs w:val="20"/>
        </w:rPr>
      </w:pPr>
    </w:p>
    <w:p w:rsidR="00095944" w:rsidRDefault="00095944" w:rsidP="00C10CE3">
      <w:pPr>
        <w:spacing w:after="0" w:line="240" w:lineRule="auto"/>
        <w:ind w:firstLine="720"/>
        <w:jc w:val="both"/>
        <w:rPr>
          <w:rFonts w:ascii="Adobe Garamond Pro" w:hAnsi="Adobe Garamond Pro"/>
          <w:sz w:val="20"/>
          <w:szCs w:val="20"/>
        </w:rPr>
      </w:pPr>
    </w:p>
    <w:p w:rsidR="00095944" w:rsidRPr="00095944" w:rsidRDefault="00095944"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b/>
        </w:rPr>
      </w:pPr>
      <w:r w:rsidRPr="00095944">
        <w:rPr>
          <w:rFonts w:ascii="Adobe Garamond Pro" w:hAnsi="Adobe Garamond Pro"/>
          <w:b/>
        </w:rPr>
        <w:lastRenderedPageBreak/>
        <w:t>Presuda zbog izostanka s nekog kasnijeg ročišta</w:t>
      </w:r>
    </w:p>
    <w:p w:rsidR="00C10CE3" w:rsidRPr="00095944" w:rsidRDefault="00C10CE3" w:rsidP="00C10CE3">
      <w:pPr>
        <w:spacing w:after="0" w:line="240" w:lineRule="auto"/>
        <w:ind w:firstLine="708"/>
        <w:jc w:val="both"/>
        <w:rPr>
          <w:rFonts w:ascii="Adobe Garamond Pro" w:hAnsi="Adobe Garamond Pro"/>
          <w:b/>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Ako je ročište za usmenu raspravu o predmetu spora zakazano nakon što je tuženik blagovremeno podnio odgovor na tužbu, a jedna od stranaka izostane s ovog ili nekog kasnijeg ročišta, stranka koja je prisutna može na tome ročištu predložiti donošenje presude zbog izostanka.</w:t>
      </w:r>
      <w:r w:rsidRPr="00095944">
        <w:rPr>
          <w:rStyle w:val="FootnoteReference"/>
          <w:rFonts w:ascii="Adobe Garamond Pro" w:hAnsi="Adobe Garamond Pro"/>
          <w:sz w:val="20"/>
          <w:szCs w:val="20"/>
        </w:rPr>
        <w:footnoteReference w:id="42"/>
      </w:r>
      <w:r w:rsidRPr="00095944">
        <w:rPr>
          <w:rFonts w:ascii="Adobe Garamond Pro" w:hAnsi="Adobe Garamond Pro"/>
          <w:sz w:val="20"/>
          <w:szCs w:val="20"/>
        </w:rPr>
        <w:t xml:space="preserve"> Unatoč izostanku tuženika s nekog kasnijeg ročišta, nakon dostave odgovora na tužbu pred sudom postoje prijedlozi stranaka, predloženi ili već izveden dokazi. Zato će sud, pri donošenju presude, sve njih morati uzeti u obzir, jer je tuženik svojim izostankom već prekludiran u pogledu onoga što je još mogao iznijeti.</w:t>
      </w:r>
      <w:r w:rsidRPr="00095944">
        <w:rPr>
          <w:rStyle w:val="FootnoteReference"/>
          <w:rFonts w:ascii="Adobe Garamond Pro" w:hAnsi="Adobe Garamond Pro"/>
          <w:sz w:val="20"/>
          <w:szCs w:val="20"/>
        </w:rPr>
        <w:footnoteReference w:id="43"/>
      </w:r>
      <w:r w:rsidRPr="00095944">
        <w:rPr>
          <w:rFonts w:ascii="Adobe Garamond Pro" w:hAnsi="Adobe Garamond Pro"/>
          <w:sz w:val="20"/>
          <w:szCs w:val="20"/>
        </w:rPr>
        <w:t xml:space="preserve"> Takva odluka se ne temelji na jednostranom izlaganju prisutne stranke, nego na cjelokupnom materijalu koji postoji do toga trenutka, uključujući i izvedene dokaze. Dakle, radi se o kontradiktornoj presudi.</w:t>
      </w:r>
      <w:r w:rsidRPr="00095944">
        <w:rPr>
          <w:rStyle w:val="FootnoteReference"/>
          <w:rFonts w:ascii="Adobe Garamond Pro" w:hAnsi="Adobe Garamond Pro"/>
          <w:sz w:val="20"/>
          <w:szCs w:val="20"/>
        </w:rPr>
        <w:footnoteReference w:id="44"/>
      </w:r>
      <w:r w:rsidRPr="00095944">
        <w:rPr>
          <w:rFonts w:ascii="Adobe Garamond Pro" w:hAnsi="Adobe Garamond Pro"/>
          <w:sz w:val="20"/>
          <w:szCs w:val="20"/>
        </w:rPr>
        <w:t xml:space="preserve"> Stoga se i u pravnoj teoriji za označavanje takvih presuda „izbjegava izraz  presuda zbog izostanka.“</w:t>
      </w:r>
      <w:r w:rsidRPr="00095944">
        <w:rPr>
          <w:rStyle w:val="FootnoteReference"/>
          <w:rFonts w:ascii="Adobe Garamond Pro" w:hAnsi="Adobe Garamond Pro"/>
          <w:sz w:val="20"/>
          <w:szCs w:val="20"/>
        </w:rPr>
        <w:footnoteReference w:id="45"/>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rPr>
      </w:pPr>
      <w:r w:rsidRPr="00095944">
        <w:rPr>
          <w:rFonts w:ascii="Adobe Garamond Pro" w:hAnsi="Adobe Garamond Pro"/>
          <w:b/>
        </w:rPr>
        <w:t>Kontumaciona presuda u pravu Švicarske</w:t>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Švicarska je unificirala svoje procesno pravo 2011. godine.</w:t>
      </w:r>
      <w:r w:rsidRPr="00095944">
        <w:rPr>
          <w:rStyle w:val="FootnoteReference"/>
          <w:rFonts w:ascii="Adobe Garamond Pro" w:hAnsi="Adobe Garamond Pro"/>
          <w:sz w:val="20"/>
          <w:szCs w:val="20"/>
        </w:rPr>
        <w:footnoteReference w:id="46"/>
      </w:r>
      <w:r w:rsidRPr="00095944">
        <w:rPr>
          <w:rFonts w:ascii="Adobe Garamond Pro" w:hAnsi="Adobe Garamond Pro"/>
          <w:sz w:val="20"/>
          <w:szCs w:val="20"/>
        </w:rPr>
        <w:t xml:space="preserve"> Nakon prijema tužbe sud provjerava postojanje procesnih pretpostavki, pa ako utvrdi da one postoje, dostavlja tužbu tuženiku na odgovor i određuje rok za dostavu pismenog odgovora na tužbu.</w:t>
      </w:r>
      <w:r w:rsidRPr="00095944">
        <w:rPr>
          <w:rStyle w:val="FootnoteReference"/>
          <w:rFonts w:ascii="Adobe Garamond Pro" w:hAnsi="Adobe Garamond Pro"/>
          <w:sz w:val="20"/>
          <w:szCs w:val="20"/>
        </w:rPr>
        <w:footnoteReference w:id="47"/>
      </w:r>
      <w:r w:rsidRPr="00095944">
        <w:rPr>
          <w:rFonts w:ascii="Adobe Garamond Pro" w:hAnsi="Adobe Garamond Pro"/>
          <w:sz w:val="20"/>
          <w:szCs w:val="20"/>
        </w:rPr>
        <w:t xml:space="preserve"> Zakon nije propisao dužinu roka za dostavu odgovora na tužbu, ali je ovlastio sud da ga odredi u svakom konkretnom slučaju.</w:t>
      </w:r>
      <w:r w:rsidRPr="00095944">
        <w:rPr>
          <w:rStyle w:val="FootnoteReference"/>
          <w:rFonts w:ascii="Adobe Garamond Pro" w:hAnsi="Adobe Garamond Pro"/>
          <w:sz w:val="20"/>
          <w:szCs w:val="20"/>
        </w:rPr>
        <w:footnoteReference w:id="48"/>
      </w:r>
      <w:r w:rsidRPr="00095944">
        <w:rPr>
          <w:rFonts w:ascii="Adobe Garamond Pro" w:hAnsi="Adobe Garamond Pro"/>
          <w:sz w:val="20"/>
          <w:szCs w:val="20"/>
        </w:rPr>
        <w:t xml:space="preserve"> Na zahtjev tuženika, rok se može produžiti ako za to postoje razumni, opravdani razlozi. U odgovoru može podnijeti i protivtužbu, a ako je ne podnesene, to više ne može učiniti u tome postupku, nego treba pokrenuti drugi.</w:t>
      </w:r>
      <w:r w:rsidRPr="00095944">
        <w:rPr>
          <w:rStyle w:val="FootnoteReference"/>
          <w:rFonts w:ascii="Adobe Garamond Pro" w:hAnsi="Adobe Garamond Pro"/>
          <w:sz w:val="20"/>
          <w:szCs w:val="20"/>
        </w:rPr>
        <w:footnoteReference w:id="49"/>
      </w:r>
      <w:r w:rsidRPr="00095944">
        <w:rPr>
          <w:rFonts w:ascii="Adobe Garamond Pro" w:hAnsi="Adobe Garamond Pro"/>
          <w:sz w:val="20"/>
          <w:szCs w:val="20"/>
        </w:rPr>
        <w:t xml:space="preserve"> Ako tuženik ne dostavi pismeni odgovor na tužbu u ostavljenom  roku, sud će rok produžiti, a ako ni u novom roku tuženik to ne uradi, sud će donijeti </w:t>
      </w:r>
      <w:r w:rsidRPr="00095944">
        <w:rPr>
          <w:rFonts w:ascii="Adobe Garamond Pro" w:hAnsi="Adobe Garamond Pro"/>
          <w:i/>
          <w:sz w:val="20"/>
          <w:szCs w:val="20"/>
        </w:rPr>
        <w:t>presudu zbog propuštanja</w:t>
      </w:r>
      <w:r w:rsidRPr="00095944">
        <w:rPr>
          <w:rFonts w:ascii="Adobe Garamond Pro" w:hAnsi="Adobe Garamond Pro"/>
          <w:sz w:val="20"/>
          <w:szCs w:val="20"/>
        </w:rPr>
        <w:t xml:space="preserve">, ako je „stvar zrela </w:t>
      </w:r>
      <w:r w:rsidRPr="00095944">
        <w:rPr>
          <w:rFonts w:ascii="Adobe Garamond Pro" w:hAnsi="Adobe Garamond Pro"/>
          <w:sz w:val="20"/>
          <w:szCs w:val="20"/>
        </w:rPr>
        <w:lastRenderedPageBreak/>
        <w:t>za presuđenje“, a u protivnom će pozvati stranke na glavnu raspravu.</w:t>
      </w:r>
      <w:r w:rsidRPr="00095944">
        <w:rPr>
          <w:rStyle w:val="FootnoteReference"/>
          <w:rFonts w:ascii="Adobe Garamond Pro" w:hAnsi="Adobe Garamond Pro"/>
          <w:sz w:val="20"/>
          <w:szCs w:val="20"/>
        </w:rPr>
        <w:footnoteReference w:id="50"/>
      </w:r>
      <w:r w:rsidRPr="00095944">
        <w:rPr>
          <w:rFonts w:ascii="Adobe Garamond Pro" w:hAnsi="Adobe Garamond Pro"/>
          <w:sz w:val="20"/>
          <w:szCs w:val="20"/>
        </w:rPr>
        <w:t xml:space="preserve"> Zakonsku odredbu da je „</w:t>
      </w:r>
      <w:r w:rsidRPr="00095944">
        <w:rPr>
          <w:rFonts w:ascii="Adobe Garamond Pro" w:hAnsi="Adobe Garamond Pro"/>
          <w:i/>
          <w:sz w:val="20"/>
          <w:szCs w:val="20"/>
        </w:rPr>
        <w:t>stvar zrela za presuđenje</w:t>
      </w:r>
      <w:r w:rsidRPr="00095944">
        <w:rPr>
          <w:rFonts w:ascii="Adobe Garamond Pro" w:hAnsi="Adobe Garamond Pro"/>
          <w:sz w:val="20"/>
          <w:szCs w:val="20"/>
        </w:rPr>
        <w:t>“ treba tumačiti u smislu da činjenice iz tužbe i dostavljeni dokazi uz nju, upućuju na zaključak da je tužbeni zahtjev osnovan, pa ga sud usvaja.</w:t>
      </w:r>
      <w:r w:rsidRPr="00095944">
        <w:rPr>
          <w:rStyle w:val="FootnoteReference"/>
          <w:rFonts w:ascii="Adobe Garamond Pro" w:hAnsi="Adobe Garamond Pro"/>
          <w:sz w:val="20"/>
          <w:szCs w:val="20"/>
        </w:rPr>
        <w:footnoteReference w:id="51"/>
      </w:r>
      <w:r w:rsidRPr="00095944">
        <w:rPr>
          <w:rFonts w:ascii="Adobe Garamond Pro" w:hAnsi="Adobe Garamond Pro"/>
          <w:sz w:val="20"/>
          <w:szCs w:val="20"/>
        </w:rPr>
        <w:t xml:space="preserve"> U protivnom, zakon ne propisuje mogućnost odbijanja zahtjeva, a kada za to nema izričite zakonske mogućnosti, onda se zahtjev ne može odbiti, već se treba voditi dalji kontradiktorni postupak. </w:t>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 xml:space="preserve">SwZPO poznaje i </w:t>
      </w:r>
      <w:r w:rsidRPr="00095944">
        <w:rPr>
          <w:rFonts w:ascii="Adobe Garamond Pro" w:hAnsi="Adobe Garamond Pro"/>
          <w:i/>
          <w:sz w:val="20"/>
          <w:szCs w:val="20"/>
        </w:rPr>
        <w:t>presudu zbog izostanka</w:t>
      </w:r>
      <w:r w:rsidRPr="00095944">
        <w:rPr>
          <w:rFonts w:ascii="Adobe Garamond Pro" w:hAnsi="Adobe Garamond Pro"/>
          <w:sz w:val="20"/>
          <w:szCs w:val="20"/>
        </w:rPr>
        <w:t xml:space="preserve"> sa glavne rasprave. U slučaju izostanka jedne stranke sa ročišta za glavnu raspravu, sud odlučuje na temelju sadržaja podnesaka dostavljenih sudu.</w:t>
      </w:r>
      <w:r w:rsidRPr="00095944">
        <w:rPr>
          <w:rStyle w:val="FootnoteReference"/>
          <w:rFonts w:ascii="Adobe Garamond Pro" w:hAnsi="Adobe Garamond Pro"/>
          <w:sz w:val="20"/>
          <w:szCs w:val="20"/>
        </w:rPr>
        <w:footnoteReference w:id="52"/>
      </w:r>
      <w:r w:rsidRPr="00095944">
        <w:rPr>
          <w:rFonts w:ascii="Adobe Garamond Pro" w:hAnsi="Adobe Garamond Pro"/>
          <w:sz w:val="20"/>
          <w:szCs w:val="20"/>
        </w:rPr>
        <w:t xml:space="preserve"> U slučaju izostanka obje stranke s ročišta za glavnu raspravu, postupak se obustavlja zbog prestanka svrhe daljeg vođenja postupka.</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SwZPO propisuje dva redovna pravna lijeka protiv prvostepene odluke suda - žalba (</w:t>
      </w:r>
      <w:r w:rsidRPr="00095944">
        <w:rPr>
          <w:rFonts w:ascii="Adobe Garamond Pro" w:hAnsi="Adobe Garamond Pro"/>
          <w:i/>
          <w:sz w:val="20"/>
          <w:szCs w:val="20"/>
        </w:rPr>
        <w:t>Berufung</w:t>
      </w:r>
      <w:r w:rsidRPr="00095944">
        <w:rPr>
          <w:rFonts w:ascii="Adobe Garamond Pro" w:hAnsi="Adobe Garamond Pro"/>
          <w:sz w:val="20"/>
          <w:szCs w:val="20"/>
        </w:rPr>
        <w:t>) i prigovor (</w:t>
      </w:r>
      <w:r w:rsidRPr="00095944">
        <w:rPr>
          <w:rFonts w:ascii="Adobe Garamond Pro" w:hAnsi="Adobe Garamond Pro"/>
          <w:i/>
          <w:sz w:val="20"/>
          <w:szCs w:val="20"/>
        </w:rPr>
        <w:t>Beschwerde</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53"/>
      </w:r>
      <w:r w:rsidRPr="00095944">
        <w:rPr>
          <w:rFonts w:ascii="Adobe Garamond Pro" w:hAnsi="Adobe Garamond Pro"/>
          <w:sz w:val="20"/>
          <w:szCs w:val="20"/>
        </w:rPr>
        <w:t xml:space="preserve"> dakle, i protiv kontumacione presude. Osim toga zakon kao pravno sredstvo za otklanjanje pravnih posljedica propuštanja parničnih radnji  propisuje povrat u prijašnje stanje. </w:t>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U sporovima o novčanim isplatama žalba je dopuštena samo ako visina zadnjeg postavljenog zahtjeva iznosi najmanje 10.000 CHF.</w:t>
      </w:r>
      <w:r w:rsidRPr="00095944">
        <w:rPr>
          <w:rStyle w:val="FootnoteReference"/>
          <w:rFonts w:ascii="Adobe Garamond Pro" w:hAnsi="Adobe Garamond Pro"/>
          <w:sz w:val="20"/>
          <w:szCs w:val="20"/>
        </w:rPr>
        <w:footnoteReference w:id="54"/>
      </w:r>
      <w:r w:rsidRPr="00095944">
        <w:rPr>
          <w:rFonts w:ascii="Adobe Garamond Pro" w:hAnsi="Adobe Garamond Pro"/>
          <w:sz w:val="20"/>
          <w:szCs w:val="20"/>
        </w:rPr>
        <w:t xml:space="preserve"> Protiv konačne prvostepene presude dopušten je prigovor, ako protiv nje nije dopuštena žalba.</w:t>
      </w:r>
      <w:r w:rsidRPr="00095944">
        <w:rPr>
          <w:rStyle w:val="FootnoteReference"/>
          <w:rFonts w:ascii="Adobe Garamond Pro" w:hAnsi="Adobe Garamond Pro"/>
          <w:sz w:val="20"/>
          <w:szCs w:val="20"/>
        </w:rPr>
        <w:footnoteReference w:id="55"/>
      </w:r>
      <w:r w:rsidRPr="00095944">
        <w:rPr>
          <w:rFonts w:ascii="Adobe Garamond Pro" w:hAnsi="Adobe Garamond Pro"/>
          <w:sz w:val="20"/>
          <w:szCs w:val="20"/>
        </w:rPr>
        <w:t xml:space="preserve"> Ako je vrijednost spora o isplati ispod 10.000 CHF, presuda se može pobijati prigovorom. </w:t>
      </w:r>
    </w:p>
    <w:p w:rsidR="00C10CE3" w:rsidRPr="00095944" w:rsidRDefault="00C10CE3" w:rsidP="00C10CE3">
      <w:pPr>
        <w:spacing w:after="0" w:line="240" w:lineRule="auto"/>
        <w:jc w:val="both"/>
        <w:rPr>
          <w:rFonts w:ascii="Adobe Garamond Pro" w:hAnsi="Adobe Garamond Pro"/>
          <w:i/>
          <w:sz w:val="20"/>
          <w:szCs w:val="20"/>
        </w:rPr>
      </w:pPr>
    </w:p>
    <w:p w:rsidR="00C10CE3" w:rsidRPr="00095944" w:rsidRDefault="00C10CE3" w:rsidP="00C10CE3">
      <w:pPr>
        <w:spacing w:after="0" w:line="240" w:lineRule="auto"/>
        <w:rPr>
          <w:rFonts w:ascii="Adobe Garamond Pro" w:hAnsi="Adobe Garamond Pro"/>
        </w:rPr>
      </w:pPr>
      <w:r w:rsidRPr="00095944">
        <w:rPr>
          <w:rFonts w:ascii="Adobe Garamond Pro" w:hAnsi="Adobe Garamond Pro"/>
          <w:b/>
        </w:rPr>
        <w:t>Kontumacione presude u pravu Švedske</w:t>
      </w:r>
    </w:p>
    <w:p w:rsidR="00C10CE3" w:rsidRPr="00095944" w:rsidRDefault="00C10CE3" w:rsidP="00C10CE3">
      <w:pPr>
        <w:spacing w:after="0" w:line="240" w:lineRule="auto"/>
        <w:jc w:val="both"/>
        <w:rPr>
          <w:rFonts w:ascii="Adobe Garamond Pro" w:hAnsi="Adobe Garamond Pro"/>
          <w:b/>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Važeći švedski Zakon o sudskom postupku (</w:t>
      </w:r>
      <w:r w:rsidRPr="00095944">
        <w:rPr>
          <w:rFonts w:ascii="Adobe Garamond Pro" w:hAnsi="Adobe Garamond Pro"/>
          <w:i/>
          <w:sz w:val="20"/>
          <w:szCs w:val="20"/>
        </w:rPr>
        <w:t>Rättegangsbalk</w:t>
      </w:r>
      <w:r w:rsidRPr="00095944">
        <w:rPr>
          <w:rFonts w:ascii="Adobe Garamond Pro" w:hAnsi="Adobe Garamond Pro"/>
          <w:sz w:val="20"/>
          <w:szCs w:val="20"/>
        </w:rPr>
        <w:t>) stupio je na snagu 1. januara 1948. godine.</w:t>
      </w:r>
      <w:r w:rsidRPr="00095944">
        <w:rPr>
          <w:rStyle w:val="FootnoteReference"/>
          <w:rFonts w:ascii="Adobe Garamond Pro" w:hAnsi="Adobe Garamond Pro"/>
          <w:sz w:val="20"/>
          <w:szCs w:val="20"/>
        </w:rPr>
        <w:footnoteReference w:id="56"/>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lastRenderedPageBreak/>
        <w:t xml:space="preserve"> Kad je tužba uredna, sud je dostavlja tuženiku radi podnošenja pismenog odgovora na tužbu</w:t>
      </w:r>
      <w:r w:rsidRPr="00095944">
        <w:rPr>
          <w:rFonts w:ascii="Adobe Garamond Pro" w:hAnsi="Adobe Garamond Pro"/>
          <w:i/>
          <w:sz w:val="20"/>
          <w:szCs w:val="20"/>
        </w:rPr>
        <w:t xml:space="preserve"> (Svaromål)</w:t>
      </w:r>
      <w:r w:rsidRPr="00095944">
        <w:rPr>
          <w:rFonts w:ascii="Adobe Garamond Pro" w:hAnsi="Adobe Garamond Pro"/>
          <w:sz w:val="20"/>
          <w:szCs w:val="20"/>
        </w:rPr>
        <w:t>. U odgovoru na tužbu</w:t>
      </w:r>
      <w:r w:rsidRPr="00095944">
        <w:rPr>
          <w:rFonts w:ascii="Adobe Garamond Pro" w:hAnsi="Adobe Garamond Pro"/>
          <w:i/>
          <w:sz w:val="20"/>
          <w:szCs w:val="20"/>
        </w:rPr>
        <w:t xml:space="preserve"> </w:t>
      </w:r>
      <w:r w:rsidRPr="00095944">
        <w:rPr>
          <w:rFonts w:ascii="Adobe Garamond Pro" w:hAnsi="Adobe Garamond Pro"/>
          <w:sz w:val="20"/>
          <w:szCs w:val="20"/>
        </w:rPr>
        <w:t>tuženik treba da se izjasni da li zahtjev osporava ili priznaje, te osnovu na kojoj zasniva svoje navode ili prijedloge. RB nije propisao rok u kojem tuženik treba podnijeti odgovor na tužbu, ali budući da propisuje presudu zbog propuštanja kao posljedicu propuštanja odgovora na tužbu, slijedi da sud određuje taj rok nakon čijeg isteka donosi ovu presudu.</w:t>
      </w:r>
      <w:r w:rsidRPr="00095944">
        <w:rPr>
          <w:rStyle w:val="FootnoteReference"/>
          <w:rFonts w:ascii="Adobe Garamond Pro" w:hAnsi="Adobe Garamond Pro"/>
          <w:sz w:val="20"/>
          <w:szCs w:val="20"/>
        </w:rPr>
        <w:footnoteReference w:id="57"/>
      </w:r>
      <w:r w:rsidRPr="00095944">
        <w:rPr>
          <w:rFonts w:ascii="Adobe Garamond Pro" w:hAnsi="Adobe Garamond Pro"/>
          <w:sz w:val="20"/>
          <w:szCs w:val="20"/>
        </w:rPr>
        <w:t xml:space="preserve"> U švedskom parničnom postupku zakonom je uveden strogi kontumacijski sistem posebno kod novčanih potraživanja koja nemaju odštetni karakter.</w:t>
      </w:r>
      <w:r w:rsidRPr="00095944">
        <w:rPr>
          <w:rStyle w:val="FootnoteReference"/>
          <w:rFonts w:ascii="Adobe Garamond Pro" w:hAnsi="Adobe Garamond Pro"/>
          <w:sz w:val="20"/>
          <w:szCs w:val="20"/>
        </w:rPr>
        <w:footnoteReference w:id="58"/>
      </w:r>
      <w:r w:rsidRPr="00095944">
        <w:rPr>
          <w:rFonts w:ascii="Adobe Garamond Pro" w:hAnsi="Adobe Garamond Pro"/>
          <w:sz w:val="20"/>
          <w:szCs w:val="20"/>
        </w:rPr>
        <w:t xml:space="preserve"> Ako tuženik propusti postupiti po naredbi suda, pa ne dostavi pismeni odgovor na tužbu, a prethodno je upozoren na posljedice i mogućnost donošenja </w:t>
      </w:r>
      <w:r w:rsidRPr="00095944">
        <w:rPr>
          <w:rFonts w:ascii="Adobe Garamond Pro" w:hAnsi="Adobe Garamond Pro"/>
          <w:i/>
          <w:sz w:val="20"/>
          <w:szCs w:val="20"/>
        </w:rPr>
        <w:t>presude zbog propuštanja</w:t>
      </w:r>
      <w:r w:rsidRPr="00095944">
        <w:rPr>
          <w:rFonts w:ascii="Adobe Garamond Pro" w:hAnsi="Adobe Garamond Pro"/>
          <w:sz w:val="20"/>
          <w:szCs w:val="20"/>
        </w:rPr>
        <w:t xml:space="preserve"> sud će na prijedlog tužitelja donijeti tu presudu.</w:t>
      </w:r>
      <w:r w:rsidRPr="00095944">
        <w:rPr>
          <w:rStyle w:val="FootnoteReference"/>
          <w:rFonts w:ascii="Adobe Garamond Pro" w:hAnsi="Adobe Garamond Pro"/>
          <w:sz w:val="20"/>
          <w:szCs w:val="20"/>
        </w:rPr>
        <w:footnoteReference w:id="59"/>
      </w:r>
      <w:r w:rsidRPr="00095944">
        <w:rPr>
          <w:rFonts w:ascii="Adobe Garamond Pro" w:hAnsi="Adobe Garamond Pro"/>
          <w:sz w:val="20"/>
          <w:szCs w:val="20"/>
        </w:rPr>
        <w:t xml:space="preserve"> Ona se može donijeti samo u parnicama u kojima stranke mogu raspolagati zahtjevima (tzv. dispozitivne parnice).</w:t>
      </w:r>
      <w:r w:rsidRPr="00095944">
        <w:rPr>
          <w:rStyle w:val="FootnoteReference"/>
          <w:rFonts w:ascii="Adobe Garamond Pro" w:hAnsi="Adobe Garamond Pro"/>
          <w:sz w:val="20"/>
          <w:szCs w:val="20"/>
        </w:rPr>
        <w:footnoteReference w:id="60"/>
      </w:r>
      <w:r w:rsidRPr="00095944">
        <w:rPr>
          <w:rFonts w:ascii="Adobe Garamond Pro" w:hAnsi="Adobe Garamond Pro"/>
          <w:sz w:val="20"/>
          <w:szCs w:val="20"/>
        </w:rPr>
        <w:t xml:space="preserve"> Smatrat će se da je tuženik izjavio odgovor na tužbu ako je on jasno izrazio svoj stav prema tužiteljevom zahtjevu i naveo činjenice ili prigovore koji mogu biti od značaja za raspravljanje pravne stvari u meritumu.</w:t>
      </w:r>
      <w:r w:rsidRPr="00095944">
        <w:rPr>
          <w:rStyle w:val="FootnoteReference"/>
          <w:rFonts w:ascii="Adobe Garamond Pro" w:hAnsi="Adobe Garamond Pro"/>
          <w:sz w:val="20"/>
          <w:szCs w:val="20"/>
        </w:rPr>
        <w:footnoteReference w:id="61"/>
      </w:r>
      <w:r w:rsidRPr="00095944">
        <w:rPr>
          <w:rFonts w:ascii="Adobe Garamond Pro" w:hAnsi="Adobe Garamond Pro"/>
          <w:sz w:val="20"/>
          <w:szCs w:val="20"/>
        </w:rPr>
        <w:t xml:space="preserve"> Sud neće donijeti presudu zbog propuštanja ako se tome, prije njenog donošenja, usprotivi tužitelj.</w:t>
      </w:r>
      <w:r w:rsidRPr="00095944">
        <w:rPr>
          <w:rStyle w:val="FootnoteReference"/>
          <w:rFonts w:ascii="Adobe Garamond Pro" w:hAnsi="Adobe Garamond Pro"/>
          <w:sz w:val="20"/>
          <w:szCs w:val="20"/>
        </w:rPr>
        <w:footnoteReference w:id="62"/>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 </w:t>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Švedski Zakon o sudskom postupku normira i </w:t>
      </w:r>
      <w:r w:rsidRPr="00095944">
        <w:rPr>
          <w:rFonts w:ascii="Adobe Garamond Pro" w:hAnsi="Adobe Garamond Pro"/>
          <w:i/>
          <w:sz w:val="20"/>
          <w:szCs w:val="20"/>
        </w:rPr>
        <w:t>presudu zbog izostanka</w:t>
      </w:r>
      <w:r w:rsidRPr="00095944">
        <w:rPr>
          <w:rFonts w:ascii="Adobe Garamond Pro" w:hAnsi="Adobe Garamond Pro"/>
          <w:sz w:val="20"/>
          <w:szCs w:val="20"/>
        </w:rPr>
        <w:t xml:space="preserve"> sa pripremnog ročišta ili ročišta za glavnu raspravu na koju je stranka uredno pozvana. Može se donijeti protiv izostalog tužitelja i protiv tuženika. Za donošenje ove  presude uvjet je da su stranke prethodno upozorene na mogućnost njenog donošenja i da protivna stranka predloži njeno donošenje. Ova presuda se ne može donijeti protiv tuženika ako se tome naknadno usprotivi tužitelj, a niti po službenoj dužnosti. Ako donošenje presude zbog izostanka ne bude predloženo, sud će predmet otpisati iz registra.</w:t>
      </w:r>
      <w:r w:rsidRPr="00095944">
        <w:rPr>
          <w:rStyle w:val="FootnoteReference"/>
          <w:rFonts w:ascii="Adobe Garamond Pro" w:hAnsi="Adobe Garamond Pro"/>
          <w:sz w:val="20"/>
          <w:szCs w:val="20"/>
        </w:rPr>
        <w:footnoteReference w:id="63"/>
      </w: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Protiv presude zbog propuštanja ili izostanka stranka može podnijeti prijedlog za preotvaranje postupka</w:t>
      </w:r>
      <w:r w:rsidRPr="00095944">
        <w:rPr>
          <w:rFonts w:ascii="Adobe Garamond Pro" w:hAnsi="Adobe Garamond Pro"/>
          <w:i/>
          <w:sz w:val="20"/>
          <w:szCs w:val="20"/>
        </w:rPr>
        <w:t xml:space="preserve"> </w:t>
      </w:r>
      <w:r w:rsidRPr="00095944">
        <w:rPr>
          <w:rFonts w:ascii="Adobe Garamond Pro" w:hAnsi="Adobe Garamond Pro"/>
          <w:sz w:val="20"/>
          <w:szCs w:val="20"/>
        </w:rPr>
        <w:t>(</w:t>
      </w:r>
      <w:r w:rsidRPr="00095944">
        <w:rPr>
          <w:rFonts w:ascii="Adobe Garamond Pro" w:hAnsi="Adobe Garamond Pro"/>
          <w:i/>
          <w:sz w:val="20"/>
          <w:szCs w:val="20"/>
        </w:rPr>
        <w:t>återvinning</w:t>
      </w:r>
      <w:r w:rsidRPr="00095944">
        <w:rPr>
          <w:rFonts w:ascii="Adobe Garamond Pro" w:hAnsi="Adobe Garamond Pro"/>
          <w:sz w:val="20"/>
          <w:szCs w:val="20"/>
        </w:rPr>
        <w:t xml:space="preserve">). Podnosi  se u pismenom obliku u roku jednog mjeseca od dana dostave presude. O prijedlogu odlučuje sud koji je presudu donio. Ukoliko je prijedlog usvojen, postupak se vraća u stadij u kojem je bio prije donošenja presude. Stranka </w:t>
      </w:r>
      <w:r w:rsidRPr="00095944">
        <w:rPr>
          <w:rFonts w:ascii="Adobe Garamond Pro" w:hAnsi="Adobe Garamond Pro"/>
          <w:sz w:val="20"/>
          <w:szCs w:val="20"/>
        </w:rPr>
        <w:lastRenderedPageBreak/>
        <w:t>protiv koje je dva puta donesena presuda zbog propuštanja, nema više  pravo da podnese prijedlog za preotvaranje postupka.</w:t>
      </w:r>
      <w:r w:rsidRPr="00095944">
        <w:rPr>
          <w:rStyle w:val="FootnoteReference"/>
          <w:rFonts w:ascii="Adobe Garamond Pro" w:hAnsi="Adobe Garamond Pro"/>
          <w:sz w:val="20"/>
          <w:szCs w:val="20"/>
        </w:rPr>
        <w:footnoteReference w:id="64"/>
      </w:r>
    </w:p>
    <w:p w:rsidR="00C10CE3" w:rsidRPr="00095944" w:rsidRDefault="00C10CE3" w:rsidP="00C10CE3">
      <w:pPr>
        <w:spacing w:after="0" w:line="240" w:lineRule="auto"/>
        <w:jc w:val="both"/>
        <w:rPr>
          <w:rFonts w:ascii="Adobe Garamond Pro" w:hAnsi="Adobe Garamond Pro"/>
          <w:sz w:val="20"/>
          <w:szCs w:val="20"/>
        </w:rPr>
      </w:pPr>
    </w:p>
    <w:p w:rsidR="00C10CE3" w:rsidRPr="00095944" w:rsidRDefault="00C10CE3" w:rsidP="00C10CE3">
      <w:pPr>
        <w:spacing w:after="0" w:line="240" w:lineRule="auto"/>
        <w:jc w:val="both"/>
        <w:rPr>
          <w:rFonts w:ascii="Adobe Garamond Pro" w:hAnsi="Adobe Garamond Pro"/>
        </w:rPr>
      </w:pPr>
      <w:r w:rsidRPr="00095944">
        <w:rPr>
          <w:rFonts w:ascii="Adobe Garamond Pro" w:hAnsi="Adobe Garamond Pro"/>
          <w:b/>
        </w:rPr>
        <w:t>Kontumacione presude u pravu Engleske</w:t>
      </w:r>
    </w:p>
    <w:p w:rsidR="00C10CE3" w:rsidRPr="00095944" w:rsidRDefault="00C10CE3" w:rsidP="00C10CE3">
      <w:pPr>
        <w:spacing w:after="0" w:line="240" w:lineRule="auto"/>
        <w:jc w:val="both"/>
        <w:rPr>
          <w:rFonts w:ascii="Adobe Garamond Pro" w:hAnsi="Adobe Garamond Pro"/>
          <w:b/>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Englesko pravo spada u porodicu </w:t>
      </w:r>
      <w:r w:rsidRPr="00095944">
        <w:rPr>
          <w:rFonts w:ascii="Adobe Garamond Pro" w:hAnsi="Adobe Garamond Pro"/>
          <w:i/>
          <w:sz w:val="20"/>
          <w:szCs w:val="20"/>
        </w:rPr>
        <w:t>Common Law</w:t>
      </w:r>
      <w:r w:rsidRPr="00095944">
        <w:rPr>
          <w:rFonts w:ascii="Adobe Garamond Pro" w:hAnsi="Adobe Garamond Pro"/>
          <w:sz w:val="20"/>
          <w:szCs w:val="20"/>
        </w:rPr>
        <w:t xml:space="preserve"> pravnih sistema. Građanski parnični postupak u Engleskoj regulisan je procesnim propisom zvanim Pravila parničnog postupka (</w:t>
      </w:r>
      <w:r w:rsidRPr="00095944">
        <w:rPr>
          <w:rFonts w:ascii="Adobe Garamond Pro" w:hAnsi="Adobe Garamond Pro"/>
          <w:i/>
          <w:sz w:val="20"/>
          <w:szCs w:val="20"/>
        </w:rPr>
        <w:t xml:space="preserve">Civil Procedure Rules) </w:t>
      </w:r>
      <w:r w:rsidRPr="00095944">
        <w:rPr>
          <w:rFonts w:ascii="Adobe Garamond Pro" w:hAnsi="Adobe Garamond Pro"/>
          <w:sz w:val="20"/>
          <w:szCs w:val="20"/>
        </w:rPr>
        <w:t>iz 1998. godine, u primjeni od 26. 04. 1999. godine.</w:t>
      </w:r>
      <w:r w:rsidRPr="00095944">
        <w:rPr>
          <w:rStyle w:val="FootnoteReference"/>
          <w:rFonts w:ascii="Adobe Garamond Pro" w:hAnsi="Adobe Garamond Pro"/>
          <w:sz w:val="20"/>
          <w:szCs w:val="20"/>
        </w:rPr>
        <w:footnoteReference w:id="65"/>
      </w:r>
      <w:r w:rsidRPr="00095944">
        <w:rPr>
          <w:rFonts w:ascii="Adobe Garamond Pro" w:hAnsi="Adobe Garamond Pro"/>
          <w:sz w:val="20"/>
          <w:szCs w:val="20"/>
        </w:rPr>
        <w:t xml:space="preserve"> </w:t>
      </w:r>
      <w:r w:rsidRPr="00095944">
        <w:rPr>
          <w:rFonts w:ascii="Adobe Garamond Pro" w:hAnsi="Adobe Garamond Pro"/>
          <w:i/>
          <w:sz w:val="20"/>
          <w:szCs w:val="20"/>
        </w:rPr>
        <w:t xml:space="preserve"> </w:t>
      </w:r>
      <w:r w:rsidRPr="00095944">
        <w:rPr>
          <w:rFonts w:ascii="Adobe Garamond Pro" w:hAnsi="Adobe Garamond Pro"/>
          <w:sz w:val="20"/>
          <w:szCs w:val="20"/>
        </w:rPr>
        <w:t xml:space="preserve">Englesko pravo  pripada </w:t>
      </w:r>
      <w:r w:rsidRPr="00095944">
        <w:rPr>
          <w:rFonts w:ascii="Adobe Garamond Pro" w:hAnsi="Adobe Garamond Pro"/>
          <w:i/>
          <w:sz w:val="20"/>
          <w:szCs w:val="20"/>
        </w:rPr>
        <w:t>Common Law</w:t>
      </w:r>
      <w:r w:rsidRPr="00095944">
        <w:rPr>
          <w:rFonts w:ascii="Adobe Garamond Pro" w:hAnsi="Adobe Garamond Pro"/>
          <w:sz w:val="20"/>
          <w:szCs w:val="20"/>
        </w:rPr>
        <w:t xml:space="preserve"> pravnoj tradiciji, a sačinjavaju ga zakoni i precedentno pravo.</w:t>
      </w:r>
      <w:r w:rsidRPr="00095944">
        <w:rPr>
          <w:rStyle w:val="FootnoteReference"/>
          <w:rFonts w:ascii="Adobe Garamond Pro" w:hAnsi="Adobe Garamond Pro"/>
          <w:sz w:val="20"/>
          <w:szCs w:val="20"/>
        </w:rPr>
        <w:footnoteReference w:id="66"/>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CPR definiše presudu zbog propuštanja kao „presudu bez suđenja koja se donosi kada tuženik propusti dostaviti izjavu o namjeri odbrane ili propusti da dostavi svoju odbranu (odgovor na tužbu).“</w:t>
      </w:r>
      <w:r w:rsidRPr="00095944">
        <w:rPr>
          <w:rStyle w:val="FootnoteReference"/>
          <w:rFonts w:ascii="Adobe Garamond Pro" w:hAnsi="Adobe Garamond Pro"/>
          <w:sz w:val="20"/>
          <w:szCs w:val="20"/>
        </w:rPr>
        <w:footnoteReference w:id="67"/>
      </w:r>
      <w:r w:rsidRPr="00095944">
        <w:rPr>
          <w:rFonts w:ascii="Adobe Garamond Pro" w:hAnsi="Adobe Garamond Pro"/>
          <w:sz w:val="20"/>
          <w:szCs w:val="20"/>
        </w:rPr>
        <w:t xml:space="preserve"> </w:t>
      </w:r>
    </w:p>
    <w:p w:rsidR="000C28A8" w:rsidRPr="00095944" w:rsidRDefault="000C28A8" w:rsidP="00C10CE3">
      <w:pPr>
        <w:spacing w:after="0" w:line="240" w:lineRule="auto"/>
        <w:ind w:firstLine="720"/>
        <w:jc w:val="both"/>
        <w:rPr>
          <w:rFonts w:ascii="Adobe Garamond Pro" w:hAnsi="Adobe Garamond Pro"/>
          <w:b/>
          <w:sz w:val="20"/>
          <w:szCs w:val="20"/>
        </w:rPr>
      </w:pPr>
    </w:p>
    <w:p w:rsidR="00C10CE3" w:rsidRPr="00095944" w:rsidRDefault="00C10CE3" w:rsidP="00C10CE3">
      <w:pPr>
        <w:spacing w:after="0" w:line="240" w:lineRule="auto"/>
        <w:jc w:val="both"/>
        <w:rPr>
          <w:rFonts w:ascii="Adobe Garamond Pro" w:hAnsi="Adobe Garamond Pro"/>
          <w:i/>
          <w:sz w:val="20"/>
          <w:szCs w:val="20"/>
        </w:rPr>
      </w:pPr>
      <w:r w:rsidRPr="00095944">
        <w:rPr>
          <w:rFonts w:ascii="Adobe Garamond Pro" w:hAnsi="Adobe Garamond Pro"/>
          <w:sz w:val="20"/>
          <w:szCs w:val="20"/>
        </w:rPr>
        <w:tab/>
        <w:t xml:space="preserve">Postupak počinje kada, na zahtjev tužitelja, sud izda formular tužbe sa oznakama  stranaka i njihovih adresa boravišta, kratkim sadržajem tužbenog zahtjeva, njegovom vrijednošću i činjenicama spora. Kompletan obrazac koji se zove </w:t>
      </w:r>
      <w:r w:rsidRPr="00095944">
        <w:rPr>
          <w:rFonts w:ascii="Adobe Garamond Pro" w:hAnsi="Adobe Garamond Pro"/>
          <w:i/>
          <w:sz w:val="20"/>
          <w:szCs w:val="20"/>
        </w:rPr>
        <w:t>Particulars of Claim</w:t>
      </w:r>
      <w:r w:rsidRPr="00095944">
        <w:rPr>
          <w:rFonts w:ascii="Adobe Garamond Pro" w:hAnsi="Adobe Garamond Pro"/>
          <w:sz w:val="20"/>
          <w:szCs w:val="20"/>
        </w:rPr>
        <w:t xml:space="preserve"> (navodi tužbe; tužbene tvrdnje) dostavlja se tuženiku</w:t>
      </w:r>
      <w:r w:rsidRPr="00095944">
        <w:rPr>
          <w:rStyle w:val="FootnoteReference"/>
          <w:rFonts w:ascii="Adobe Garamond Pro" w:hAnsi="Adobe Garamond Pro"/>
          <w:sz w:val="20"/>
          <w:szCs w:val="20"/>
        </w:rPr>
        <w:footnoteReference w:id="68"/>
      </w:r>
      <w:r w:rsidRPr="00095944">
        <w:rPr>
          <w:rFonts w:ascii="Adobe Garamond Pro" w:hAnsi="Adobe Garamond Pro"/>
          <w:sz w:val="20"/>
          <w:szCs w:val="20"/>
        </w:rPr>
        <w:t xml:space="preserve"> koji treba da u roku od 14 dana sudu dostaviti svoju izjavu o namjeri odbrane i prijemu tužbe.</w:t>
      </w:r>
      <w:r w:rsidRPr="00095944">
        <w:rPr>
          <w:rStyle w:val="FootnoteReference"/>
          <w:rFonts w:ascii="Adobe Garamond Pro" w:hAnsi="Adobe Garamond Pro"/>
          <w:sz w:val="20"/>
          <w:szCs w:val="20"/>
        </w:rPr>
        <w:footnoteReference w:id="69"/>
      </w:r>
      <w:r w:rsidRPr="00095944">
        <w:rPr>
          <w:rFonts w:ascii="Adobe Garamond Pro" w:hAnsi="Adobe Garamond Pro"/>
          <w:sz w:val="20"/>
          <w:szCs w:val="20"/>
        </w:rPr>
        <w:t xml:space="preserve"> U toj izjavi tuženik, pored ostalog, treba </w:t>
      </w:r>
      <w:r w:rsidRPr="00095944">
        <w:rPr>
          <w:rFonts w:ascii="Adobe Garamond Pro" w:hAnsi="Adobe Garamond Pro"/>
          <w:sz w:val="20"/>
          <w:szCs w:val="20"/>
        </w:rPr>
        <w:lastRenderedPageBreak/>
        <w:t>izjaviti da li će se braniti u postupku.</w:t>
      </w:r>
      <w:r w:rsidRPr="00095944">
        <w:rPr>
          <w:rStyle w:val="FootnoteReference"/>
          <w:rFonts w:ascii="Adobe Garamond Pro" w:hAnsi="Adobe Garamond Pro"/>
          <w:sz w:val="20"/>
          <w:szCs w:val="20"/>
        </w:rPr>
        <w:footnoteReference w:id="70"/>
      </w:r>
      <w:r w:rsidRPr="00095944">
        <w:rPr>
          <w:rFonts w:ascii="Adobe Garamond Pro" w:hAnsi="Adobe Garamond Pro"/>
          <w:sz w:val="20"/>
          <w:szCs w:val="20"/>
        </w:rPr>
        <w:t xml:space="preserve"> Smisao traženja izjave je u tome da se ispita volja i namjera tuženika za njegovu odbranu, od čega zavisi dalji tok  postupka. Ako tuženik u roku od 14 dana ne dostavi sudu izjavu o namjeri odbrane, tužitelj može tražiti od suda, a on će donijeti </w:t>
      </w:r>
      <w:r w:rsidRPr="00095944">
        <w:rPr>
          <w:rFonts w:ascii="Adobe Garamond Pro" w:hAnsi="Adobe Garamond Pro"/>
          <w:i/>
          <w:sz w:val="20"/>
          <w:szCs w:val="20"/>
        </w:rPr>
        <w:t>presudu zbog propuštanja dostave izjave o namjeri odbrane.</w:t>
      </w:r>
    </w:p>
    <w:p w:rsidR="00095944" w:rsidRDefault="00095944"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Kad tuženik dostavi sudu ovu izjavu, ima pravo u narednih 28 dana dostaviti sudu svoju odbranu - pismeni odgovor na tužbu (</w:t>
      </w:r>
      <w:r w:rsidRPr="00095944">
        <w:rPr>
          <w:rFonts w:ascii="Adobe Garamond Pro" w:hAnsi="Adobe Garamond Pro"/>
          <w:i/>
          <w:sz w:val="20"/>
          <w:szCs w:val="20"/>
        </w:rPr>
        <w:t>defence</w:t>
      </w:r>
      <w:r w:rsidRPr="00095944">
        <w:rPr>
          <w:rFonts w:ascii="Adobe Garamond Pro" w:hAnsi="Adobe Garamond Pro"/>
          <w:sz w:val="20"/>
          <w:szCs w:val="20"/>
        </w:rPr>
        <w:t xml:space="preserve">). Ako ga u tome roku tuženik ne dostavi, sud će, na prijedlog tužitelja, donijeti </w:t>
      </w:r>
      <w:r w:rsidRPr="00095944">
        <w:rPr>
          <w:rFonts w:ascii="Adobe Garamond Pro" w:hAnsi="Adobe Garamond Pro"/>
          <w:i/>
          <w:sz w:val="20"/>
          <w:szCs w:val="20"/>
        </w:rPr>
        <w:t>presudu zbog propuštanja odbrane.</w:t>
      </w:r>
      <w:r w:rsidRPr="00095944">
        <w:rPr>
          <w:rStyle w:val="FootnoteReference"/>
          <w:rFonts w:ascii="Adobe Garamond Pro" w:hAnsi="Adobe Garamond Pro"/>
          <w:sz w:val="20"/>
          <w:szCs w:val="20"/>
        </w:rPr>
        <w:footnoteReference w:id="71"/>
      </w:r>
      <w:r w:rsidRPr="00095944">
        <w:rPr>
          <w:rFonts w:ascii="Adobe Garamond Pro" w:hAnsi="Adobe Garamond Pro"/>
          <w:sz w:val="20"/>
          <w:szCs w:val="20"/>
        </w:rPr>
        <w:t>Za donošenje bilo koje od ovih presuda zbog propuštanja, pretpostavke su: da je tužba dostavljena tuženiku, da tuženik nije u rokovima dostavio izjavu o namjeri odbrane, odnosno pismeni odgovor na tužbu, da tuženik do tada nije ispunio traženu obavezu iz tužbe, tužiteljev prijedlog (odnosno zahtjev) za donošenje presude.</w:t>
      </w:r>
      <w:r w:rsidRPr="00095944">
        <w:rPr>
          <w:rStyle w:val="FootnoteReference"/>
          <w:rFonts w:ascii="Adobe Garamond Pro" w:hAnsi="Adobe Garamond Pro"/>
          <w:sz w:val="20"/>
          <w:szCs w:val="20"/>
        </w:rPr>
        <w:footnoteReference w:id="72"/>
      </w:r>
      <w:r w:rsidRPr="00095944">
        <w:rPr>
          <w:rFonts w:ascii="Adobe Garamond Pro" w:hAnsi="Adobe Garamond Pro"/>
          <w:sz w:val="20"/>
          <w:szCs w:val="20"/>
        </w:rPr>
        <w:t xml:space="preserve"> </w:t>
      </w:r>
    </w:p>
    <w:p w:rsidR="000C28A8" w:rsidRPr="00095944" w:rsidRDefault="000C28A8" w:rsidP="00C10CE3">
      <w:pPr>
        <w:spacing w:after="0" w:line="240" w:lineRule="auto"/>
        <w:ind w:firstLine="720"/>
        <w:jc w:val="both"/>
        <w:rPr>
          <w:rFonts w:ascii="Adobe Garamond Pro" w:hAnsi="Adobe Garamond Pro"/>
          <w:sz w:val="20"/>
          <w:szCs w:val="20"/>
        </w:rPr>
      </w:pPr>
    </w:p>
    <w:p w:rsidR="00373172"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Ona se može pobijati podnošenjem </w:t>
      </w:r>
      <w:r w:rsidRPr="00095944">
        <w:rPr>
          <w:rFonts w:ascii="Adobe Garamond Pro" w:hAnsi="Adobe Garamond Pro"/>
          <w:i/>
          <w:sz w:val="20"/>
          <w:szCs w:val="20"/>
        </w:rPr>
        <w:t xml:space="preserve">prijedloga za ukidanje </w:t>
      </w:r>
      <w:r w:rsidRPr="00095944">
        <w:rPr>
          <w:rFonts w:ascii="Adobe Garamond Pro" w:hAnsi="Adobe Garamond Pro"/>
          <w:sz w:val="20"/>
          <w:szCs w:val="20"/>
        </w:rPr>
        <w:t xml:space="preserve">(poništenje, stavljanje izvan snage) - </w:t>
      </w:r>
      <w:r w:rsidRPr="00095944">
        <w:rPr>
          <w:rFonts w:ascii="Adobe Garamond Pro" w:hAnsi="Adobe Garamond Pro"/>
          <w:i/>
          <w:sz w:val="20"/>
          <w:szCs w:val="20"/>
        </w:rPr>
        <w:t>Application to Set Aside</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73"/>
      </w:r>
      <w:r w:rsidRPr="00095944">
        <w:rPr>
          <w:rFonts w:ascii="Adobe Garamond Pro" w:hAnsi="Adobe Garamond Pro"/>
          <w:i/>
          <w:sz w:val="20"/>
          <w:szCs w:val="20"/>
        </w:rPr>
        <w:t xml:space="preserve"> </w:t>
      </w:r>
      <w:r w:rsidRPr="00095944">
        <w:rPr>
          <w:rFonts w:ascii="Adobe Garamond Pro" w:hAnsi="Adobe Garamond Pro"/>
          <w:sz w:val="20"/>
          <w:szCs w:val="20"/>
        </w:rPr>
        <w:t>koji mora biti potkrijepljen dokazima.</w:t>
      </w:r>
      <w:r w:rsidRPr="00095944">
        <w:rPr>
          <w:rStyle w:val="FootnoteReference"/>
          <w:rFonts w:ascii="Adobe Garamond Pro" w:hAnsi="Adobe Garamond Pro"/>
          <w:sz w:val="20"/>
          <w:szCs w:val="20"/>
        </w:rPr>
        <w:footnoteReference w:id="74"/>
      </w:r>
    </w:p>
    <w:p w:rsidR="00095944" w:rsidRDefault="00095944" w:rsidP="000C28A8">
      <w:pPr>
        <w:spacing w:after="0" w:line="240" w:lineRule="auto"/>
        <w:rPr>
          <w:rFonts w:ascii="Adobe Garamond Pro" w:hAnsi="Adobe Garamond Pro"/>
          <w:b/>
          <w:sz w:val="20"/>
          <w:szCs w:val="20"/>
        </w:rPr>
      </w:pPr>
    </w:p>
    <w:p w:rsidR="00C10CE3" w:rsidRPr="00095944" w:rsidRDefault="000C28A8" w:rsidP="000C28A8">
      <w:pPr>
        <w:spacing w:after="0" w:line="240" w:lineRule="auto"/>
        <w:rPr>
          <w:rFonts w:ascii="Adobe Garamond Pro" w:hAnsi="Adobe Garamond Pro"/>
          <w:b/>
        </w:rPr>
      </w:pPr>
      <w:r w:rsidRPr="00095944">
        <w:rPr>
          <w:rFonts w:ascii="Adobe Garamond Pro" w:hAnsi="Adobe Garamond Pro"/>
          <w:b/>
        </w:rPr>
        <w:t>Kontumaciona presuda u pravu Sjedinjenih američkih država</w:t>
      </w:r>
    </w:p>
    <w:p w:rsidR="00C10CE3" w:rsidRPr="00095944" w:rsidRDefault="00C10CE3" w:rsidP="00C10CE3">
      <w:pPr>
        <w:spacing w:after="0" w:line="240" w:lineRule="auto"/>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Parnični postupak u Sjedinjenim Američkim Državama je normiran Federalnim pravilima parničnog postupka (</w:t>
      </w:r>
      <w:r w:rsidRPr="00095944">
        <w:rPr>
          <w:rFonts w:ascii="Adobe Garamond Pro" w:hAnsi="Adobe Garamond Pro"/>
          <w:i/>
          <w:sz w:val="20"/>
          <w:szCs w:val="20"/>
        </w:rPr>
        <w:t>Federal Rules of</w:t>
      </w:r>
      <w:r w:rsidRPr="00095944">
        <w:rPr>
          <w:rFonts w:ascii="Adobe Garamond Pro" w:hAnsi="Adobe Garamond Pro"/>
          <w:sz w:val="20"/>
          <w:szCs w:val="20"/>
        </w:rPr>
        <w:t xml:space="preserve"> </w:t>
      </w:r>
      <w:r w:rsidRPr="00095944">
        <w:rPr>
          <w:rFonts w:ascii="Adobe Garamond Pro" w:hAnsi="Adobe Garamond Pro"/>
          <w:i/>
          <w:sz w:val="20"/>
          <w:szCs w:val="20"/>
        </w:rPr>
        <w:t>Civil Procedure).</w:t>
      </w:r>
      <w:r w:rsidRPr="00095944">
        <w:rPr>
          <w:rStyle w:val="FootnoteReference"/>
          <w:rFonts w:ascii="Adobe Garamond Pro" w:hAnsi="Adobe Garamond Pro"/>
          <w:sz w:val="20"/>
          <w:szCs w:val="20"/>
        </w:rPr>
        <w:footnoteReference w:id="75"/>
      </w:r>
      <w:r w:rsidRPr="00095944">
        <w:rPr>
          <w:rFonts w:ascii="Adobe Garamond Pro" w:hAnsi="Adobe Garamond Pro"/>
          <w:i/>
          <w:sz w:val="20"/>
          <w:szCs w:val="20"/>
        </w:rPr>
        <w:t xml:space="preserve"> </w:t>
      </w:r>
      <w:r w:rsidRPr="00095944">
        <w:rPr>
          <w:rFonts w:ascii="Adobe Garamond Pro" w:hAnsi="Adobe Garamond Pro"/>
          <w:sz w:val="20"/>
          <w:szCs w:val="20"/>
        </w:rPr>
        <w:t xml:space="preserve">FRCP regulišu specifičan </w:t>
      </w:r>
      <w:r w:rsidRPr="00095944">
        <w:rPr>
          <w:rFonts w:ascii="Adobe Garamond Pro" w:hAnsi="Adobe Garamond Pro"/>
          <w:sz w:val="20"/>
          <w:szCs w:val="20"/>
        </w:rPr>
        <w:lastRenderedPageBreak/>
        <w:t xml:space="preserve">postupak kontumacije, inače, svojstven pravnim sistemima </w:t>
      </w:r>
      <w:r w:rsidRPr="00095944">
        <w:rPr>
          <w:rFonts w:ascii="Adobe Garamond Pro" w:hAnsi="Adobe Garamond Pro"/>
          <w:i/>
          <w:sz w:val="20"/>
          <w:szCs w:val="20"/>
        </w:rPr>
        <w:t>Common Law.</w:t>
      </w:r>
      <w:r w:rsidRPr="00095944">
        <w:rPr>
          <w:rStyle w:val="FootnoteReference"/>
          <w:rFonts w:ascii="Adobe Garamond Pro" w:hAnsi="Adobe Garamond Pro"/>
          <w:i/>
          <w:sz w:val="20"/>
          <w:szCs w:val="20"/>
        </w:rPr>
        <w:footnoteReference w:id="76"/>
      </w:r>
      <w:r w:rsidRPr="00095944">
        <w:rPr>
          <w:rFonts w:ascii="Adobe Garamond Pro" w:hAnsi="Adobe Garamond Pro"/>
          <w:i/>
          <w:sz w:val="20"/>
          <w:szCs w:val="20"/>
        </w:rPr>
        <w:t xml:space="preserve"> </w:t>
      </w:r>
      <w:r w:rsidRPr="00095944">
        <w:rPr>
          <w:rFonts w:ascii="Adobe Garamond Pro" w:hAnsi="Adobe Garamond Pro"/>
          <w:sz w:val="20"/>
          <w:szCs w:val="20"/>
        </w:rPr>
        <w:t>Uz tužbu tuženiku se obavezno dostavlja i upozorenje o tome da propuštanje odgovora na tužbu ima za posljedicu donošenje presude zbog propuštanja kojom se tužbeni zahtjev usvaja.</w:t>
      </w:r>
      <w:r w:rsidRPr="00095944">
        <w:rPr>
          <w:rStyle w:val="FootnoteReference"/>
          <w:rFonts w:ascii="Adobe Garamond Pro" w:hAnsi="Adobe Garamond Pro"/>
          <w:sz w:val="20"/>
          <w:szCs w:val="20"/>
        </w:rPr>
        <w:footnoteReference w:id="77"/>
      </w:r>
    </w:p>
    <w:p w:rsidR="00373172" w:rsidRPr="00095944" w:rsidRDefault="00373172"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Rok za dostavu pismenog odgovora na tužbu je 21 dan od dana dostave tužbe tuženiku.</w:t>
      </w:r>
      <w:r w:rsidRPr="00095944">
        <w:rPr>
          <w:rStyle w:val="FootnoteReference"/>
          <w:rFonts w:ascii="Adobe Garamond Pro" w:hAnsi="Adobe Garamond Pro"/>
          <w:sz w:val="20"/>
          <w:szCs w:val="20"/>
        </w:rPr>
        <w:footnoteReference w:id="78"/>
      </w:r>
      <w:r w:rsidRPr="00095944">
        <w:rPr>
          <w:rFonts w:ascii="Adobe Garamond Pro" w:hAnsi="Adobe Garamond Pro"/>
          <w:sz w:val="20"/>
          <w:szCs w:val="20"/>
        </w:rPr>
        <w:t xml:space="preserve"> Ako tuženik želi da spor sudi porota, to mora predložiti u odgovoru na tužbu ili najkasnije u roku od 14 dana nakon dostave odgovora na tužbu.</w:t>
      </w:r>
      <w:r w:rsidRPr="00095944">
        <w:rPr>
          <w:rStyle w:val="FootnoteReference"/>
          <w:rFonts w:ascii="Adobe Garamond Pro" w:hAnsi="Adobe Garamond Pro"/>
          <w:sz w:val="20"/>
          <w:szCs w:val="20"/>
        </w:rPr>
        <w:footnoteReference w:id="79"/>
      </w:r>
      <w:r w:rsidRPr="00095944">
        <w:rPr>
          <w:rFonts w:ascii="Adobe Garamond Pro" w:hAnsi="Adobe Garamond Pro"/>
          <w:sz w:val="20"/>
          <w:szCs w:val="20"/>
        </w:rPr>
        <w:t xml:space="preserve">  </w:t>
      </w:r>
    </w:p>
    <w:p w:rsidR="00373172" w:rsidRPr="00095944" w:rsidRDefault="00373172"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Kada tuženik propusti u roku dostaviti sudu pismeni odgovor na tužbu,</w:t>
      </w:r>
      <w:r w:rsidRPr="00095944">
        <w:rPr>
          <w:rStyle w:val="FootnoteReference"/>
          <w:rFonts w:ascii="Adobe Garamond Pro" w:hAnsi="Adobe Garamond Pro"/>
          <w:sz w:val="20"/>
          <w:szCs w:val="20"/>
        </w:rPr>
        <w:footnoteReference w:id="80"/>
      </w:r>
      <w:r w:rsidRPr="00095944">
        <w:rPr>
          <w:rFonts w:ascii="Adobe Garamond Pro" w:hAnsi="Adobe Garamond Pro"/>
          <w:sz w:val="20"/>
          <w:szCs w:val="20"/>
        </w:rPr>
        <w:t xml:space="preserve"> sud će donijeti </w:t>
      </w:r>
      <w:r w:rsidRPr="00095944">
        <w:rPr>
          <w:rFonts w:ascii="Adobe Garamond Pro" w:hAnsi="Adobe Garamond Pro"/>
          <w:i/>
          <w:sz w:val="20"/>
          <w:szCs w:val="20"/>
        </w:rPr>
        <w:t>presudu zbog propuštanja</w:t>
      </w:r>
      <w:r w:rsidRPr="00095944">
        <w:rPr>
          <w:rFonts w:ascii="Adobe Garamond Pro" w:hAnsi="Adobe Garamond Pro"/>
          <w:sz w:val="20"/>
          <w:szCs w:val="20"/>
        </w:rPr>
        <w:t xml:space="preserve"> kojom će usvojiti tužbeni zahtjev (</w:t>
      </w:r>
      <w:r w:rsidRPr="00095944">
        <w:rPr>
          <w:rFonts w:ascii="Adobe Garamond Pro" w:hAnsi="Adobe Garamond Pro"/>
          <w:i/>
          <w:sz w:val="20"/>
          <w:szCs w:val="20"/>
        </w:rPr>
        <w:t>Default Judgment</w:t>
      </w:r>
      <w:r w:rsidRPr="00095944">
        <w:rPr>
          <w:rFonts w:ascii="Adobe Garamond Pro" w:hAnsi="Adobe Garamond Pro"/>
          <w:sz w:val="20"/>
          <w:szCs w:val="20"/>
        </w:rPr>
        <w:t xml:space="preserve">). Postupak donošenja te presude ima 2 stadija. U prvom stadiju tužitelj ili njegov advokat dostavljaju sudu tzv. </w:t>
      </w:r>
      <w:r w:rsidRPr="00095944">
        <w:rPr>
          <w:rFonts w:ascii="Adobe Garamond Pro" w:hAnsi="Adobe Garamond Pro"/>
          <w:i/>
          <w:sz w:val="20"/>
          <w:szCs w:val="20"/>
        </w:rPr>
        <w:t>izjavu pod zakletvom</w:t>
      </w:r>
      <w:r w:rsidRPr="00095944">
        <w:rPr>
          <w:rFonts w:ascii="Adobe Garamond Pro" w:hAnsi="Adobe Garamond Pro"/>
          <w:sz w:val="20"/>
          <w:szCs w:val="20"/>
        </w:rPr>
        <w:t xml:space="preserve"> (</w:t>
      </w:r>
      <w:r w:rsidRPr="00095944">
        <w:rPr>
          <w:rFonts w:ascii="Adobe Garamond Pro" w:hAnsi="Adobe Garamond Pro"/>
          <w:i/>
          <w:sz w:val="20"/>
          <w:szCs w:val="20"/>
        </w:rPr>
        <w:t>Afidavit)</w:t>
      </w:r>
      <w:r w:rsidRPr="00095944">
        <w:rPr>
          <w:rFonts w:ascii="Adobe Garamond Pro" w:hAnsi="Adobe Garamond Pro"/>
          <w:sz w:val="20"/>
          <w:szCs w:val="20"/>
        </w:rPr>
        <w:t xml:space="preserve"> kojom tužitelj dokazuje da je tuženiku izvršena dostava tužbe i poziva za davanje odgovora na tužbu i upozorenje o posljedicama propuštanja dostave odgovora. Kad postoje te pretpostavke, tužitelj predlaže sudskom službeniku da provjeri i u sudski registar izvrši </w:t>
      </w:r>
      <w:r w:rsidRPr="00095944">
        <w:rPr>
          <w:rFonts w:ascii="Adobe Garamond Pro" w:hAnsi="Adobe Garamond Pro"/>
          <w:i/>
          <w:sz w:val="20"/>
          <w:szCs w:val="20"/>
        </w:rPr>
        <w:t>upis propuštanja odgovora na tužbu</w:t>
      </w:r>
      <w:r w:rsidRPr="00095944">
        <w:rPr>
          <w:rFonts w:ascii="Adobe Garamond Pro" w:hAnsi="Adobe Garamond Pro"/>
          <w:sz w:val="20"/>
          <w:szCs w:val="20"/>
        </w:rPr>
        <w:t xml:space="preserve"> (</w:t>
      </w:r>
      <w:r w:rsidRPr="00095944">
        <w:rPr>
          <w:rFonts w:ascii="Adobe Garamond Pro" w:hAnsi="Adobe Garamond Pro"/>
          <w:i/>
          <w:sz w:val="20"/>
          <w:szCs w:val="20"/>
        </w:rPr>
        <w:t>Entering a Default</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81"/>
      </w:r>
      <w:r w:rsidRPr="00095944">
        <w:rPr>
          <w:rFonts w:ascii="Adobe Garamond Pro" w:hAnsi="Adobe Garamond Pro"/>
          <w:sz w:val="20"/>
          <w:szCs w:val="20"/>
        </w:rPr>
        <w:t xml:space="preserve"> što će on učiniti ako provjerom utvrdi da odgovor na tužbu nije dostavljen ili je </w:t>
      </w:r>
      <w:r w:rsidRPr="00095944">
        <w:rPr>
          <w:rFonts w:ascii="Adobe Garamond Pro" w:hAnsi="Adobe Garamond Pro"/>
          <w:sz w:val="20"/>
          <w:szCs w:val="20"/>
        </w:rPr>
        <w:lastRenderedPageBreak/>
        <w:t>dostavljen neblagovremeno.</w:t>
      </w:r>
      <w:r w:rsidRPr="00095944">
        <w:rPr>
          <w:rStyle w:val="FootnoteReference"/>
          <w:rFonts w:ascii="Adobe Garamond Pro" w:hAnsi="Adobe Garamond Pro"/>
          <w:sz w:val="20"/>
          <w:szCs w:val="20"/>
        </w:rPr>
        <w:footnoteReference w:id="82"/>
      </w:r>
      <w:r w:rsidRPr="00095944">
        <w:rPr>
          <w:rFonts w:ascii="Adobe Garamond Pro" w:hAnsi="Adobe Garamond Pro"/>
          <w:sz w:val="20"/>
          <w:szCs w:val="20"/>
        </w:rPr>
        <w:t xml:space="preserve"> Drugi stadij postupka je </w:t>
      </w:r>
      <w:r w:rsidRPr="00095944">
        <w:rPr>
          <w:rFonts w:ascii="Adobe Garamond Pro" w:hAnsi="Adobe Garamond Pro"/>
          <w:i/>
          <w:sz w:val="20"/>
          <w:szCs w:val="20"/>
        </w:rPr>
        <w:t>donošenje</w:t>
      </w:r>
      <w:r w:rsidRPr="00095944">
        <w:rPr>
          <w:rFonts w:ascii="Adobe Garamond Pro" w:hAnsi="Adobe Garamond Pro"/>
          <w:sz w:val="20"/>
          <w:szCs w:val="20"/>
        </w:rPr>
        <w:t xml:space="preserve"> </w:t>
      </w:r>
      <w:r w:rsidRPr="00095944">
        <w:rPr>
          <w:rFonts w:ascii="Adobe Garamond Pro" w:hAnsi="Adobe Garamond Pro"/>
          <w:i/>
          <w:sz w:val="20"/>
          <w:szCs w:val="20"/>
        </w:rPr>
        <w:t>presude zbog propuštanja</w:t>
      </w:r>
      <w:r w:rsidRPr="00095944">
        <w:rPr>
          <w:rFonts w:ascii="Adobe Garamond Pro" w:hAnsi="Adobe Garamond Pro"/>
          <w:sz w:val="20"/>
          <w:szCs w:val="20"/>
        </w:rPr>
        <w:t xml:space="preserve"> (</w:t>
      </w:r>
      <w:r w:rsidRPr="00095944">
        <w:rPr>
          <w:rFonts w:ascii="Adobe Garamond Pro" w:hAnsi="Adobe Garamond Pro"/>
          <w:i/>
          <w:sz w:val="20"/>
          <w:szCs w:val="20"/>
        </w:rPr>
        <w:t>Entering a Default Judgment</w:t>
      </w:r>
      <w:r w:rsidRPr="00095944">
        <w:rPr>
          <w:rFonts w:ascii="Adobe Garamond Pro" w:hAnsi="Adobe Garamond Pro"/>
          <w:sz w:val="20"/>
          <w:szCs w:val="20"/>
        </w:rPr>
        <w:t>)</w:t>
      </w:r>
      <w:r w:rsidRPr="00095944">
        <w:rPr>
          <w:rStyle w:val="FootnoteReference"/>
          <w:rFonts w:ascii="Adobe Garamond Pro" w:hAnsi="Adobe Garamond Pro"/>
          <w:sz w:val="20"/>
          <w:szCs w:val="20"/>
        </w:rPr>
        <w:footnoteReference w:id="83"/>
      </w:r>
      <w:r w:rsidRPr="00095944">
        <w:rPr>
          <w:rFonts w:ascii="Adobe Garamond Pro" w:hAnsi="Adobe Garamond Pro"/>
          <w:sz w:val="20"/>
          <w:szCs w:val="20"/>
        </w:rPr>
        <w:t xml:space="preserve"> na prijedlog tužitelja. Da bi presuda bila donesena, tužitelj treba dokazati osnovanost tužbenog zahtjeva, što sudija provjerava na osnovu dokaza dostavljenih uz tužbu.</w:t>
      </w:r>
      <w:r w:rsidRPr="00095944">
        <w:rPr>
          <w:rStyle w:val="FootnoteReference"/>
          <w:rFonts w:ascii="Adobe Garamond Pro" w:hAnsi="Adobe Garamond Pro"/>
          <w:sz w:val="20"/>
          <w:szCs w:val="20"/>
        </w:rPr>
        <w:footnoteReference w:id="84"/>
      </w:r>
    </w:p>
    <w:p w:rsidR="00373172" w:rsidRPr="00095944" w:rsidRDefault="00373172"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Upis propuštanja dostave odgovora na tužbu (</w:t>
      </w:r>
      <w:r w:rsidRPr="00095944">
        <w:rPr>
          <w:rFonts w:ascii="Adobe Garamond Pro" w:hAnsi="Adobe Garamond Pro"/>
          <w:i/>
          <w:sz w:val="20"/>
          <w:szCs w:val="20"/>
        </w:rPr>
        <w:t>Default</w:t>
      </w:r>
      <w:r w:rsidRPr="00095944">
        <w:rPr>
          <w:rFonts w:ascii="Adobe Garamond Pro" w:hAnsi="Adobe Garamond Pro"/>
          <w:sz w:val="20"/>
          <w:szCs w:val="20"/>
        </w:rPr>
        <w:t>) nije isto što i presuda zbog propuštanja (</w:t>
      </w:r>
      <w:r w:rsidRPr="00095944">
        <w:rPr>
          <w:rFonts w:ascii="Adobe Garamond Pro" w:hAnsi="Adobe Garamond Pro"/>
          <w:i/>
          <w:sz w:val="20"/>
          <w:szCs w:val="20"/>
        </w:rPr>
        <w:t>Default Judgment</w:t>
      </w:r>
      <w:r w:rsidRPr="00095944">
        <w:rPr>
          <w:rFonts w:ascii="Adobe Garamond Pro" w:hAnsi="Adobe Garamond Pro"/>
          <w:sz w:val="20"/>
          <w:szCs w:val="20"/>
        </w:rPr>
        <w:t>). Upis propuštanja je samo sudsko evidentiranje, zabilješka činjenice propuštanja odgovora na tužbu u spis predmeta i u sudski registar, a presuda zbog propuštanja je sudska odluka koja se donosi nakon upisa propuštanja.</w:t>
      </w:r>
    </w:p>
    <w:p w:rsidR="00373172" w:rsidRPr="00095944" w:rsidRDefault="00373172" w:rsidP="00C10CE3">
      <w:pPr>
        <w:spacing w:after="0" w:line="240" w:lineRule="auto"/>
        <w:ind w:firstLine="720"/>
        <w:jc w:val="both"/>
        <w:rPr>
          <w:rFonts w:ascii="Adobe Garamond Pro" w:hAnsi="Adobe Garamond Pro"/>
          <w:sz w:val="20"/>
          <w:szCs w:val="20"/>
        </w:rPr>
      </w:pPr>
    </w:p>
    <w:p w:rsidR="00373172"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b/>
          <w:sz w:val="20"/>
          <w:szCs w:val="20"/>
        </w:rPr>
        <w:t xml:space="preserve"> </w:t>
      </w:r>
      <w:r w:rsidRPr="00095944">
        <w:rPr>
          <w:rFonts w:ascii="Adobe Garamond Pro" w:hAnsi="Adobe Garamond Pro"/>
          <w:sz w:val="20"/>
          <w:szCs w:val="20"/>
        </w:rPr>
        <w:t>Upis propuštanja odgovora na tužbu  i presuda zbog propuštanja se mogu pobijati.</w:t>
      </w:r>
      <w:r w:rsidRPr="00095944">
        <w:rPr>
          <w:rFonts w:ascii="Adobe Garamond Pro" w:hAnsi="Adobe Garamond Pro"/>
          <w:b/>
          <w:sz w:val="20"/>
          <w:szCs w:val="20"/>
        </w:rPr>
        <w:t xml:space="preserve"> </w:t>
      </w:r>
      <w:r w:rsidRPr="00095944">
        <w:rPr>
          <w:rFonts w:ascii="Adobe Garamond Pro" w:hAnsi="Adobe Garamond Pro"/>
          <w:sz w:val="20"/>
          <w:szCs w:val="20"/>
        </w:rPr>
        <w:t xml:space="preserve">Sud može iz opravdanih razloga </w:t>
      </w:r>
      <w:r w:rsidRPr="00095944">
        <w:rPr>
          <w:rFonts w:ascii="Adobe Garamond Pro" w:hAnsi="Adobe Garamond Pro"/>
          <w:i/>
          <w:sz w:val="20"/>
          <w:szCs w:val="20"/>
        </w:rPr>
        <w:t>poništiti</w:t>
      </w:r>
      <w:r w:rsidRPr="00095944">
        <w:rPr>
          <w:rFonts w:ascii="Adobe Garamond Pro" w:hAnsi="Adobe Garamond Pro"/>
          <w:sz w:val="20"/>
          <w:szCs w:val="20"/>
        </w:rPr>
        <w:t xml:space="preserve"> upis propuštanja odgovora na tužbu, a može </w:t>
      </w:r>
      <w:r w:rsidRPr="00095944">
        <w:rPr>
          <w:rFonts w:ascii="Adobe Garamond Pro" w:hAnsi="Adobe Garamond Pro"/>
          <w:i/>
          <w:sz w:val="20"/>
          <w:szCs w:val="20"/>
        </w:rPr>
        <w:t>ukinuti</w:t>
      </w:r>
      <w:r w:rsidRPr="00095944">
        <w:rPr>
          <w:rFonts w:ascii="Adobe Garamond Pro" w:hAnsi="Adobe Garamond Pro"/>
          <w:sz w:val="20"/>
          <w:szCs w:val="20"/>
        </w:rPr>
        <w:t xml:space="preserve"> presudu zbog propuštanja.</w:t>
      </w:r>
      <w:r w:rsidRPr="00095944">
        <w:rPr>
          <w:rStyle w:val="FootnoteReference"/>
          <w:rFonts w:ascii="Adobe Garamond Pro" w:hAnsi="Adobe Garamond Pro"/>
          <w:sz w:val="20"/>
          <w:szCs w:val="20"/>
        </w:rPr>
        <w:footnoteReference w:id="85"/>
      </w:r>
      <w:r w:rsidRPr="00095944">
        <w:rPr>
          <w:rFonts w:ascii="Adobe Garamond Pro" w:hAnsi="Adobe Garamond Pro"/>
          <w:sz w:val="20"/>
          <w:szCs w:val="20"/>
        </w:rPr>
        <w:t xml:space="preserve"> Presuda zbog propuštanja, na prijedlog tuženika, može biti</w:t>
      </w:r>
      <w:r w:rsidRPr="00095944">
        <w:rPr>
          <w:rFonts w:ascii="Adobe Garamond Pro" w:hAnsi="Adobe Garamond Pro"/>
          <w:i/>
          <w:sz w:val="20"/>
          <w:szCs w:val="20"/>
        </w:rPr>
        <w:t xml:space="preserve"> ukinuta</w:t>
      </w:r>
      <w:r w:rsidRPr="00095944">
        <w:rPr>
          <w:rFonts w:ascii="Adobe Garamond Pro" w:hAnsi="Adobe Garamond Pro"/>
          <w:sz w:val="20"/>
          <w:szCs w:val="20"/>
        </w:rPr>
        <w:t xml:space="preserve"> ako tuženik osnovano ističe povrede postupka njenog donošenja ili druge opravdane razloge, kao npr: postupanje suda koji nije stvarni ili mjesno nadležan; ako stranka dokaže da joj tužba nije dostavljena,</w:t>
      </w:r>
      <w:r w:rsidRPr="00095944">
        <w:rPr>
          <w:rStyle w:val="FootnoteReference"/>
          <w:rFonts w:ascii="Adobe Garamond Pro" w:hAnsi="Adobe Garamond Pro"/>
          <w:sz w:val="20"/>
          <w:szCs w:val="20"/>
        </w:rPr>
        <w:footnoteReference w:id="86"/>
      </w:r>
      <w:r w:rsidRPr="00095944">
        <w:rPr>
          <w:rFonts w:ascii="Adobe Garamond Pro" w:hAnsi="Adobe Garamond Pro"/>
          <w:sz w:val="20"/>
          <w:szCs w:val="20"/>
        </w:rPr>
        <w:t xml:space="preserve"> novi dokazi za koje je tuženik saznao naknadno, a koji ni uz razumnu pažnju tuženika nisu mogli biti predloženi ranije, odnosno u odgovoru na tužbu, prevara od strane protivne stranke (zloupotrebe, lažno predstavljanje), zasnovanost presude na nekoj ranijoj presudi koja je kasnije ukinuta ili preinačena, ako izvršenje presude ne bi više bilo pravedno, kao i iz drugih razloga koje sud ocijeni kao opravdane.</w:t>
      </w:r>
      <w:r w:rsidRPr="00095944">
        <w:rPr>
          <w:rStyle w:val="FootnoteReference"/>
          <w:rFonts w:ascii="Adobe Garamond Pro" w:hAnsi="Adobe Garamond Pro"/>
          <w:sz w:val="20"/>
          <w:szCs w:val="20"/>
        </w:rPr>
        <w:footnoteReference w:id="87"/>
      </w:r>
      <w:r w:rsidRPr="00095944">
        <w:rPr>
          <w:rFonts w:ascii="Adobe Garamond Pro" w:hAnsi="Adobe Garamond Pro"/>
          <w:sz w:val="20"/>
          <w:szCs w:val="20"/>
        </w:rPr>
        <w:t xml:space="preserve"> </w:t>
      </w:r>
    </w:p>
    <w:p w:rsidR="00C10CE3" w:rsidRPr="00095944"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   </w:t>
      </w:r>
    </w:p>
    <w:p w:rsidR="00C10CE3" w:rsidRDefault="00C10CE3" w:rsidP="00C10CE3">
      <w:pPr>
        <w:spacing w:after="0" w:line="240" w:lineRule="auto"/>
        <w:ind w:firstLine="720"/>
        <w:jc w:val="both"/>
        <w:rPr>
          <w:rFonts w:ascii="Adobe Garamond Pro" w:hAnsi="Adobe Garamond Pro"/>
          <w:sz w:val="20"/>
          <w:szCs w:val="20"/>
        </w:rPr>
      </w:pPr>
      <w:r w:rsidRPr="00095944">
        <w:rPr>
          <w:rFonts w:ascii="Adobe Garamond Pro" w:hAnsi="Adobe Garamond Pro"/>
          <w:sz w:val="20"/>
          <w:szCs w:val="20"/>
        </w:rPr>
        <w:t xml:space="preserve"> Prijedlog se podnosi „u razumnom roku“, ali ne dužem od jedne godine nakon njenog donošenja.</w:t>
      </w:r>
      <w:r w:rsidRPr="00095944">
        <w:rPr>
          <w:rStyle w:val="FootnoteReference"/>
          <w:rFonts w:ascii="Adobe Garamond Pro" w:hAnsi="Adobe Garamond Pro"/>
          <w:sz w:val="20"/>
          <w:szCs w:val="20"/>
        </w:rPr>
        <w:footnoteReference w:id="88"/>
      </w:r>
      <w:r w:rsidRPr="00095944">
        <w:rPr>
          <w:rFonts w:ascii="Adobe Garamond Pro" w:hAnsi="Adobe Garamond Pro"/>
          <w:sz w:val="20"/>
          <w:szCs w:val="20"/>
        </w:rPr>
        <w:t xml:space="preserve"> Prijedlog nema suspenzivno dejstvo, dakle, ne odlaže pravosnažnost niti izvršnost presude zbog propuštanja.</w:t>
      </w:r>
      <w:r w:rsidRPr="00095944">
        <w:rPr>
          <w:rStyle w:val="FootnoteReference"/>
          <w:rFonts w:ascii="Adobe Garamond Pro" w:hAnsi="Adobe Garamond Pro"/>
          <w:sz w:val="20"/>
          <w:szCs w:val="20"/>
        </w:rPr>
        <w:footnoteReference w:id="89"/>
      </w:r>
    </w:p>
    <w:p w:rsidR="00095944" w:rsidRPr="00095944" w:rsidRDefault="00095944" w:rsidP="00C10CE3">
      <w:pPr>
        <w:spacing w:after="0" w:line="240" w:lineRule="auto"/>
        <w:ind w:firstLine="720"/>
        <w:jc w:val="both"/>
        <w:rPr>
          <w:rFonts w:ascii="Adobe Garamond Pro" w:hAnsi="Adobe Garamond Pro"/>
          <w:sz w:val="20"/>
          <w:szCs w:val="20"/>
        </w:rPr>
      </w:pPr>
    </w:p>
    <w:p w:rsidR="00C10CE3" w:rsidRPr="00095944" w:rsidRDefault="00C10CE3" w:rsidP="00C10CE3">
      <w:pPr>
        <w:spacing w:after="0" w:line="240" w:lineRule="auto"/>
        <w:ind w:firstLine="720"/>
        <w:jc w:val="both"/>
        <w:rPr>
          <w:rFonts w:ascii="Adobe Garamond Pro" w:hAnsi="Adobe Garamond Pro"/>
          <w:sz w:val="20"/>
          <w:szCs w:val="20"/>
        </w:rPr>
      </w:pPr>
    </w:p>
    <w:p w:rsidR="00C10CE3" w:rsidRPr="00095944" w:rsidRDefault="00373172" w:rsidP="00373172">
      <w:pPr>
        <w:tabs>
          <w:tab w:val="left" w:pos="2949"/>
        </w:tabs>
        <w:spacing w:after="0" w:line="240" w:lineRule="auto"/>
        <w:ind w:right="-142"/>
        <w:rPr>
          <w:rFonts w:ascii="Adobe Garamond Pro" w:hAnsi="Adobe Garamond Pro"/>
          <w:b/>
        </w:rPr>
      </w:pPr>
      <w:r w:rsidRPr="00095944">
        <w:rPr>
          <w:rFonts w:ascii="Adobe Garamond Pro" w:hAnsi="Adobe Garamond Pro"/>
          <w:b/>
        </w:rPr>
        <w:lastRenderedPageBreak/>
        <w:t>Nedjelotvornost pobijanja kontumacione presude u pravu Federacije BiH</w:t>
      </w:r>
    </w:p>
    <w:p w:rsidR="00C10CE3" w:rsidRPr="00095944" w:rsidRDefault="00C10CE3" w:rsidP="00C10CE3">
      <w:pPr>
        <w:tabs>
          <w:tab w:val="left" w:pos="2949"/>
        </w:tabs>
        <w:spacing w:after="0" w:line="240" w:lineRule="auto"/>
        <w:jc w:val="both"/>
        <w:rPr>
          <w:rFonts w:ascii="Adobe Garamond Pro" w:hAnsi="Adobe Garamond Pro"/>
          <w:b/>
          <w:sz w:val="20"/>
          <w:szCs w:val="20"/>
        </w:rPr>
      </w:pPr>
    </w:p>
    <w:p w:rsidR="00C10CE3" w:rsidRDefault="00C10CE3" w:rsidP="00C10CE3">
      <w:pPr>
        <w:tabs>
          <w:tab w:val="left" w:pos="2949"/>
        </w:tabs>
        <w:spacing w:after="0" w:line="240" w:lineRule="auto"/>
        <w:jc w:val="both"/>
        <w:rPr>
          <w:rFonts w:ascii="Adobe Garamond Pro" w:hAnsi="Adobe Garamond Pro"/>
          <w:sz w:val="20"/>
          <w:szCs w:val="20"/>
        </w:rPr>
      </w:pPr>
      <w:r w:rsidRPr="00095944">
        <w:rPr>
          <w:rFonts w:ascii="Adobe Garamond Pro" w:hAnsi="Adobe Garamond Pro"/>
          <w:b/>
          <w:sz w:val="20"/>
          <w:szCs w:val="20"/>
        </w:rPr>
        <w:t xml:space="preserve">            </w:t>
      </w:r>
      <w:r w:rsidRPr="00095944">
        <w:rPr>
          <w:rFonts w:ascii="Adobe Garamond Pro" w:hAnsi="Adobe Garamond Pro"/>
          <w:sz w:val="20"/>
          <w:szCs w:val="20"/>
        </w:rPr>
        <w:t>U pravu Federacije BiH (kontumaciona) presuda zbog propuštanja</w:t>
      </w:r>
      <w:r w:rsidRPr="00095944">
        <w:rPr>
          <w:rFonts w:ascii="Adobe Garamond Pro" w:hAnsi="Adobe Garamond Pro"/>
          <w:b/>
          <w:sz w:val="20"/>
          <w:szCs w:val="20"/>
        </w:rPr>
        <w:t xml:space="preserve"> </w:t>
      </w:r>
      <w:r w:rsidRPr="00095944">
        <w:rPr>
          <w:rFonts w:ascii="Adobe Garamond Pro" w:hAnsi="Adobe Garamond Pro"/>
          <w:sz w:val="20"/>
          <w:szCs w:val="20"/>
        </w:rPr>
        <w:t>se može pobijati jedino prijedlogom za povrat u prijašnje stanje. Propisivanje te mogućnosti bilo je predmet kritike u pravnoj teoriji,</w:t>
      </w:r>
      <w:r w:rsidRPr="00095944">
        <w:rPr>
          <w:rStyle w:val="FootnoteReference"/>
          <w:rFonts w:ascii="Adobe Garamond Pro" w:hAnsi="Adobe Garamond Pro"/>
          <w:sz w:val="20"/>
          <w:szCs w:val="20"/>
        </w:rPr>
        <w:footnoteReference w:id="90"/>
      </w:r>
      <w:r w:rsidRPr="00095944">
        <w:rPr>
          <w:rFonts w:ascii="Adobe Garamond Pro" w:hAnsi="Adobe Garamond Pro"/>
          <w:sz w:val="20"/>
          <w:szCs w:val="20"/>
        </w:rPr>
        <w:t xml:space="preserve"> ali je otvaralo dileme i u sudskoj praksi. Ovo zakonsko rješenje smatra se strogim, a istovremeno ne daje dovoljno garancija za kvalitetnu zaštitu kakvu pruža žalba.</w:t>
      </w:r>
      <w:r w:rsidRPr="00095944">
        <w:rPr>
          <w:rStyle w:val="FootnoteReference"/>
          <w:rFonts w:ascii="Adobe Garamond Pro" w:hAnsi="Adobe Garamond Pro"/>
          <w:sz w:val="20"/>
          <w:szCs w:val="20"/>
        </w:rPr>
        <w:footnoteReference w:id="91"/>
      </w:r>
      <w:r w:rsidRPr="00095944">
        <w:rPr>
          <w:rFonts w:ascii="Adobe Garamond Pro" w:hAnsi="Adobe Garamond Pro"/>
          <w:sz w:val="20"/>
          <w:szCs w:val="20"/>
        </w:rPr>
        <w:t xml:space="preserve"> Nemogućnost pobijanja ove presude žalbom kao djelotvornim pravnim lijekom  je protivno Ustavu Federacije BiH i članu 13. </w:t>
      </w:r>
      <w:r w:rsidRPr="00095944">
        <w:rPr>
          <w:rFonts w:ascii="Adobe Garamond Pro" w:hAnsi="Adobe Garamond Pro"/>
          <w:i/>
          <w:sz w:val="20"/>
          <w:szCs w:val="20"/>
        </w:rPr>
        <w:t>Europske konvencije o ljudskim pravima</w:t>
      </w:r>
      <w:r w:rsidRPr="00095944">
        <w:rPr>
          <w:rFonts w:ascii="Adobe Garamond Pro" w:hAnsi="Adobe Garamond Pro"/>
          <w:sz w:val="20"/>
          <w:szCs w:val="20"/>
        </w:rPr>
        <w:t xml:space="preserve"> koja garantuje pravo na djelotvoran pravni lijek u građanskim stvarima. Svako</w:t>
      </w:r>
      <w:r w:rsidRPr="00095944">
        <w:rPr>
          <w:rFonts w:ascii="Adobe Garamond Pro" w:hAnsi="Adobe Garamond Pro"/>
          <w:b/>
          <w:sz w:val="20"/>
          <w:szCs w:val="20"/>
        </w:rPr>
        <w:t xml:space="preserve"> </w:t>
      </w:r>
      <w:r w:rsidRPr="00095944">
        <w:rPr>
          <w:rFonts w:ascii="Adobe Garamond Pro" w:hAnsi="Adobe Garamond Pro"/>
          <w:sz w:val="20"/>
          <w:szCs w:val="20"/>
        </w:rPr>
        <w:t>prilikom utvrđivanja građanskih prava i obaveza ima pravo na pravično suđenje.</w:t>
      </w:r>
      <w:r w:rsidRPr="00095944">
        <w:rPr>
          <w:rStyle w:val="FootnoteReference"/>
          <w:rFonts w:ascii="Adobe Garamond Pro" w:hAnsi="Adobe Garamond Pro"/>
          <w:sz w:val="20"/>
          <w:szCs w:val="20"/>
        </w:rPr>
        <w:footnoteReference w:id="92"/>
      </w:r>
      <w:r w:rsidRPr="00095944">
        <w:rPr>
          <w:rFonts w:ascii="Adobe Garamond Pro" w:hAnsi="Adobe Garamond Pro"/>
          <w:sz w:val="20"/>
          <w:szCs w:val="20"/>
        </w:rPr>
        <w:t xml:space="preserve">  Svako čija su prava i slobode utvrđene ovom konvencijom narušeni ima pravo na pravni lijek pred državnim organima vlasti.</w:t>
      </w:r>
      <w:r w:rsidRPr="00095944">
        <w:rPr>
          <w:rStyle w:val="FootnoteReference"/>
          <w:rFonts w:ascii="Adobe Garamond Pro" w:hAnsi="Adobe Garamond Pro"/>
          <w:sz w:val="20"/>
          <w:szCs w:val="20"/>
        </w:rPr>
        <w:footnoteReference w:id="93"/>
      </w:r>
      <w:r w:rsidRPr="00095944">
        <w:rPr>
          <w:rFonts w:ascii="Adobe Garamond Pro" w:hAnsi="Adobe Garamond Pro"/>
          <w:sz w:val="20"/>
          <w:szCs w:val="20"/>
        </w:rPr>
        <w:t xml:space="preserve"> Da bi se smatrao djelotvornim, pravni lijek mora ispuniti četiri autonomna zahtjeva djelotvornosti: institucionalna djelotvornost; stvarna djelotvornost; korektivna djelotvornost i materijalna djelotvornost.</w:t>
      </w:r>
      <w:r w:rsidRPr="00095944">
        <w:rPr>
          <w:rStyle w:val="FootnoteReference"/>
          <w:rFonts w:ascii="Adobe Garamond Pro" w:hAnsi="Adobe Garamond Pro"/>
          <w:sz w:val="20"/>
          <w:szCs w:val="20"/>
        </w:rPr>
        <w:footnoteReference w:id="94"/>
      </w:r>
      <w:r w:rsidRPr="00095944">
        <w:rPr>
          <w:rFonts w:ascii="Adobe Garamond Pro" w:hAnsi="Adobe Garamond Pro"/>
          <w:sz w:val="20"/>
          <w:szCs w:val="20"/>
        </w:rPr>
        <w:t xml:space="preserve"> </w:t>
      </w:r>
      <w:r w:rsidRPr="00095944">
        <w:rPr>
          <w:rFonts w:ascii="Adobe Garamond Pro" w:hAnsi="Adobe Garamond Pro"/>
          <w:i/>
          <w:sz w:val="20"/>
          <w:szCs w:val="20"/>
        </w:rPr>
        <w:t>Institucionalna djelotvornost</w:t>
      </w:r>
      <w:r w:rsidRPr="00095944">
        <w:rPr>
          <w:rFonts w:ascii="Adobe Garamond Pro" w:hAnsi="Adobe Garamond Pro"/>
          <w:sz w:val="20"/>
          <w:szCs w:val="20"/>
        </w:rPr>
        <w:t xml:space="preserve"> se odnosi na javnu vlast koja odlučuje o zahtjevu pojedinca, što podrazumijeva da domaći (nacionalni) organ vlasti mora biti dovoljno nezavisan od vlasti koja je odgovorna za kršenja prava.</w:t>
      </w:r>
      <w:r w:rsidRPr="00095944">
        <w:rPr>
          <w:rStyle w:val="FootnoteReference"/>
          <w:rFonts w:ascii="Adobe Garamond Pro" w:hAnsi="Adobe Garamond Pro"/>
          <w:sz w:val="20"/>
          <w:szCs w:val="20"/>
        </w:rPr>
        <w:footnoteReference w:id="95"/>
      </w:r>
      <w:r w:rsidRPr="00095944">
        <w:rPr>
          <w:rFonts w:ascii="Adobe Garamond Pro" w:hAnsi="Adobe Garamond Pro"/>
          <w:sz w:val="20"/>
          <w:szCs w:val="20"/>
        </w:rPr>
        <w:t xml:space="preserve"> Odgovor na pitanje da li je neki organ nezavisan dobija se u svakom pojedinačnom predmetu, pošto Europski sud za ljudska prava nije utvrdio opće principe u vezi s ovim pitanjem.</w:t>
      </w:r>
      <w:r w:rsidRPr="00095944">
        <w:rPr>
          <w:rStyle w:val="FootnoteReference"/>
          <w:rFonts w:ascii="Adobe Garamond Pro" w:hAnsi="Adobe Garamond Pro"/>
          <w:sz w:val="20"/>
          <w:szCs w:val="20"/>
        </w:rPr>
        <w:footnoteReference w:id="96"/>
      </w:r>
      <w:r w:rsidRPr="00095944">
        <w:rPr>
          <w:rFonts w:ascii="Adobe Garamond Pro" w:hAnsi="Adobe Garamond Pro"/>
          <w:sz w:val="20"/>
          <w:szCs w:val="20"/>
        </w:rPr>
        <w:t xml:space="preserve"> </w:t>
      </w:r>
      <w:r w:rsidRPr="00095944">
        <w:rPr>
          <w:rFonts w:ascii="Adobe Garamond Pro" w:hAnsi="Adobe Garamond Pro"/>
          <w:i/>
          <w:sz w:val="20"/>
          <w:szCs w:val="20"/>
        </w:rPr>
        <w:t>Stvarna djelotvornost</w:t>
      </w:r>
      <w:r w:rsidRPr="00095944">
        <w:rPr>
          <w:rFonts w:ascii="Adobe Garamond Pro" w:hAnsi="Adobe Garamond Pro"/>
          <w:sz w:val="20"/>
          <w:szCs w:val="20"/>
        </w:rPr>
        <w:t xml:space="preserve"> znači da osoba koja tvrdi da je pretrpjela povredu svoga prava mora biti u mogućnosti isticati bit problema pred domaćim organima vlasti.</w:t>
      </w:r>
      <w:r w:rsidRPr="00095944">
        <w:rPr>
          <w:rStyle w:val="FootnoteReference"/>
          <w:rFonts w:ascii="Adobe Garamond Pro" w:hAnsi="Adobe Garamond Pro"/>
          <w:sz w:val="20"/>
          <w:szCs w:val="20"/>
        </w:rPr>
        <w:footnoteReference w:id="97"/>
      </w:r>
      <w:r w:rsidRPr="00095944">
        <w:rPr>
          <w:rFonts w:ascii="Adobe Garamond Pro" w:hAnsi="Adobe Garamond Pro"/>
          <w:sz w:val="20"/>
          <w:szCs w:val="20"/>
        </w:rPr>
        <w:t xml:space="preserve"> Stranka treba pred domaćim organom vlasti imati takav pravni lijek koji će omogućiti da se o njenom zahtjevu odluči i, ako je osnovan, da se povreda prava ispravi.</w:t>
      </w:r>
      <w:r w:rsidRPr="00095944">
        <w:rPr>
          <w:rStyle w:val="FootnoteReference"/>
          <w:rFonts w:ascii="Adobe Garamond Pro" w:hAnsi="Adobe Garamond Pro"/>
          <w:sz w:val="20"/>
          <w:szCs w:val="20"/>
        </w:rPr>
        <w:footnoteReference w:id="98"/>
      </w:r>
      <w:r w:rsidRPr="00095944">
        <w:rPr>
          <w:rFonts w:ascii="Adobe Garamond Pro" w:hAnsi="Adobe Garamond Pro"/>
          <w:sz w:val="20"/>
          <w:szCs w:val="20"/>
        </w:rPr>
        <w:t xml:space="preserve"> Podnosilac pravnog lijeka ima pravo da se odluči o meritumu njegovog zahtjeva, pa pravo na djelotvoran pravni lijek tako i treba shvatiti.</w:t>
      </w:r>
      <w:r w:rsidRPr="00095944">
        <w:rPr>
          <w:rStyle w:val="FootnoteReference"/>
          <w:rFonts w:ascii="Adobe Garamond Pro" w:hAnsi="Adobe Garamond Pro"/>
          <w:sz w:val="20"/>
          <w:szCs w:val="20"/>
        </w:rPr>
        <w:footnoteReference w:id="99"/>
      </w:r>
      <w:r w:rsidRPr="00095944">
        <w:rPr>
          <w:rFonts w:ascii="Adobe Garamond Pro" w:hAnsi="Adobe Garamond Pro"/>
          <w:sz w:val="20"/>
          <w:szCs w:val="20"/>
        </w:rPr>
        <w:t xml:space="preserve"> </w:t>
      </w:r>
      <w:r w:rsidRPr="00095944">
        <w:rPr>
          <w:rFonts w:ascii="Adobe Garamond Pro" w:hAnsi="Adobe Garamond Pro"/>
          <w:i/>
          <w:sz w:val="20"/>
          <w:szCs w:val="20"/>
        </w:rPr>
        <w:t>Korektivna djelotvornost</w:t>
      </w:r>
      <w:r w:rsidRPr="00095944">
        <w:rPr>
          <w:rFonts w:ascii="Adobe Garamond Pro" w:hAnsi="Adobe Garamond Pro"/>
          <w:sz w:val="20"/>
          <w:szCs w:val="20"/>
        </w:rPr>
        <w:t xml:space="preserve"> znači da se domaćim pravnim lijekom mora biti u stanju </w:t>
      </w:r>
      <w:r w:rsidRPr="00095944">
        <w:rPr>
          <w:rFonts w:ascii="Adobe Garamond Pro" w:hAnsi="Adobe Garamond Pro"/>
          <w:sz w:val="20"/>
          <w:szCs w:val="20"/>
        </w:rPr>
        <w:lastRenderedPageBreak/>
        <w:t>ispraviti povreda koja se ustanovi. Ako domaći organ utvrdi da je došlo do kršenja zaštićenog prava, on mora biti u stanju narediti mjeru kojom se kršenje prava može ispraviti.</w:t>
      </w:r>
      <w:r w:rsidRPr="00095944">
        <w:rPr>
          <w:rStyle w:val="FootnoteReference"/>
          <w:rFonts w:ascii="Adobe Garamond Pro" w:hAnsi="Adobe Garamond Pro"/>
          <w:sz w:val="20"/>
          <w:szCs w:val="20"/>
        </w:rPr>
        <w:footnoteReference w:id="100"/>
      </w:r>
      <w:r w:rsidRPr="00095944">
        <w:rPr>
          <w:rFonts w:ascii="Adobe Garamond Pro" w:hAnsi="Adobe Garamond Pro"/>
          <w:sz w:val="20"/>
          <w:szCs w:val="20"/>
        </w:rPr>
        <w:t xml:space="preserve"> </w:t>
      </w:r>
      <w:r w:rsidRPr="00095944">
        <w:rPr>
          <w:rFonts w:ascii="Adobe Garamond Pro" w:hAnsi="Adobe Garamond Pro"/>
          <w:i/>
          <w:sz w:val="20"/>
          <w:szCs w:val="20"/>
        </w:rPr>
        <w:t>Materijalna djelotvornost</w:t>
      </w:r>
      <w:r w:rsidRPr="00095944">
        <w:rPr>
          <w:rFonts w:ascii="Adobe Garamond Pro" w:hAnsi="Adobe Garamond Pro"/>
          <w:b/>
          <w:i/>
          <w:sz w:val="20"/>
          <w:szCs w:val="20"/>
        </w:rPr>
        <w:t xml:space="preserve">  </w:t>
      </w:r>
      <w:r w:rsidRPr="00095944">
        <w:rPr>
          <w:rFonts w:ascii="Adobe Garamond Pro" w:hAnsi="Adobe Garamond Pro"/>
          <w:sz w:val="20"/>
          <w:szCs w:val="20"/>
        </w:rPr>
        <w:t>znači zahtjev da pravni lijek bude djelotvoran u praksi kao i u propisu. Nije dovoljno da on bude samo propisan u domaćem zakonu, nego podnosilac mora biti u mogućnosti da iskoristi stvarna dejstva djelotvornosti pravnog lijeka.</w:t>
      </w:r>
      <w:r w:rsidRPr="00095944">
        <w:rPr>
          <w:rStyle w:val="FootnoteReference"/>
          <w:rFonts w:ascii="Adobe Garamond Pro" w:hAnsi="Adobe Garamond Pro"/>
          <w:sz w:val="20"/>
          <w:szCs w:val="20"/>
        </w:rPr>
        <w:footnoteReference w:id="101"/>
      </w:r>
    </w:p>
    <w:p w:rsidR="00095944" w:rsidRPr="00095944" w:rsidRDefault="00095944" w:rsidP="00C10CE3">
      <w:pPr>
        <w:tabs>
          <w:tab w:val="left" w:pos="2949"/>
        </w:tabs>
        <w:spacing w:after="0" w:line="240" w:lineRule="auto"/>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b/>
          <w:i/>
          <w:sz w:val="20"/>
          <w:szCs w:val="20"/>
        </w:rPr>
      </w:pPr>
      <w:r w:rsidRPr="00095944">
        <w:rPr>
          <w:rFonts w:ascii="Adobe Garamond Pro" w:hAnsi="Adobe Garamond Pro"/>
          <w:i/>
          <w:sz w:val="20"/>
          <w:szCs w:val="20"/>
        </w:rPr>
        <w:t>Ratio</w:t>
      </w:r>
      <w:r w:rsidRPr="00095944">
        <w:rPr>
          <w:rFonts w:ascii="Adobe Garamond Pro" w:hAnsi="Adobe Garamond Pro"/>
          <w:sz w:val="20"/>
          <w:szCs w:val="20"/>
        </w:rPr>
        <w:t xml:space="preserve"> povrata u prijašnje stanje nije u ispitivanju zakonitosti odluke suda,</w:t>
      </w:r>
      <w:r w:rsidRPr="00095944">
        <w:rPr>
          <w:rStyle w:val="FootnoteReference"/>
          <w:rFonts w:ascii="Adobe Garamond Pro" w:hAnsi="Adobe Garamond Pro"/>
          <w:sz w:val="20"/>
          <w:szCs w:val="20"/>
        </w:rPr>
        <w:footnoteReference w:id="102"/>
      </w:r>
      <w:r w:rsidRPr="00095944">
        <w:rPr>
          <w:rFonts w:ascii="Adobe Garamond Pro" w:hAnsi="Adobe Garamond Pro"/>
          <w:sz w:val="20"/>
          <w:szCs w:val="20"/>
        </w:rPr>
        <w:t xml:space="preserve"> nego u otklanjanju posljedica propuštanja parničnih radnji. Jedina mogućnost ostavljena tuženiku jeste opravdanje propuštanje roka za dostavu odgovora na tužbu čime može ishoditi ukidanje presude zbog propuštanja.</w:t>
      </w:r>
      <w:r w:rsidRPr="00095944">
        <w:rPr>
          <w:rStyle w:val="FootnoteReference"/>
          <w:rFonts w:ascii="Adobe Garamond Pro" w:hAnsi="Adobe Garamond Pro"/>
          <w:sz w:val="20"/>
          <w:szCs w:val="20"/>
        </w:rPr>
        <w:footnoteReference w:id="103"/>
      </w:r>
      <w:r w:rsidRPr="00095944">
        <w:rPr>
          <w:rFonts w:ascii="Adobe Garamond Pro" w:hAnsi="Adobe Garamond Pro"/>
          <w:sz w:val="20"/>
          <w:szCs w:val="20"/>
        </w:rPr>
        <w:t xml:space="preserve"> Ako tuženi to ne opravda, opstaje presuda zbog propuštanja i onda kada je donesena uz povredu odredaba parničnog postupka ili uz pogrešnu primjenu materijalnog prava. Ipak, ima izvjesnih izuzetaka u vidu mogućnosti podnošenja prijedloga za povrat zbog povreda odredaba parničnog postupka. </w:t>
      </w:r>
      <w:r w:rsidRPr="00095944">
        <w:rPr>
          <w:rFonts w:ascii="Adobe Garamond Pro" w:hAnsi="Adobe Garamond Pro"/>
          <w:i/>
          <w:sz w:val="20"/>
          <w:szCs w:val="20"/>
        </w:rPr>
        <w:t>Prijedlog za povrat u prijašnje stanje nema stvarnu ni materijalnu djelotvornost, odnosno u njemu tuženi ne može isticati, a ni sud preispitivati nedostatke merituma kontumacione presude</w:t>
      </w:r>
      <w:r w:rsidRPr="00095944">
        <w:rPr>
          <w:rFonts w:ascii="Adobe Garamond Pro" w:hAnsi="Adobe Garamond Pro"/>
          <w:b/>
          <w:i/>
          <w:sz w:val="20"/>
          <w:szCs w:val="20"/>
        </w:rPr>
        <w:t xml:space="preserve">. </w:t>
      </w:r>
    </w:p>
    <w:p w:rsidR="00373172" w:rsidRPr="00095944" w:rsidRDefault="00373172" w:rsidP="00C10CE3">
      <w:pPr>
        <w:spacing w:after="0" w:line="240" w:lineRule="auto"/>
        <w:ind w:firstLine="708"/>
        <w:jc w:val="both"/>
        <w:rPr>
          <w:rFonts w:ascii="Adobe Garamond Pro" w:hAnsi="Adobe Garamond Pro"/>
          <w:b/>
          <w:i/>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Iako se ova presuda ne može dovoljno djelotvorno pobijati, statistika donošenja presude zbog propuštanja u sudskoj praksi ipak govori o njenom značaju. U periodu od 2009. do 2012. godine u svim prvostepenim sudovima u BiH, od svih vrsta presuda donesenih u parničnom postupku,</w:t>
      </w:r>
      <w:r w:rsidRPr="00095944">
        <w:rPr>
          <w:rFonts w:ascii="Adobe Garamond Pro" w:hAnsi="Adobe Garamond Pro"/>
          <w:b/>
          <w:i/>
          <w:sz w:val="20"/>
          <w:szCs w:val="20"/>
        </w:rPr>
        <w:t xml:space="preserve"> </w:t>
      </w:r>
      <w:r w:rsidRPr="00095944">
        <w:rPr>
          <w:rFonts w:ascii="Adobe Garamond Pro" w:hAnsi="Adobe Garamond Pro"/>
          <w:i/>
          <w:sz w:val="20"/>
          <w:szCs w:val="20"/>
        </w:rPr>
        <w:t>doneseno je</w:t>
      </w:r>
      <w:r w:rsidRPr="00095944">
        <w:rPr>
          <w:rFonts w:ascii="Adobe Garamond Pro" w:hAnsi="Adobe Garamond Pro"/>
          <w:sz w:val="20"/>
          <w:szCs w:val="20"/>
        </w:rPr>
        <w:t xml:space="preserve"> 57,67%</w:t>
      </w:r>
      <w:r w:rsidRPr="00095944">
        <w:rPr>
          <w:rFonts w:ascii="Adobe Garamond Pro" w:hAnsi="Adobe Garamond Pro"/>
          <w:i/>
          <w:sz w:val="20"/>
          <w:szCs w:val="20"/>
        </w:rPr>
        <w:t xml:space="preserve"> presuda zbog propuštanja</w:t>
      </w:r>
      <w:r w:rsidRPr="00095944">
        <w:rPr>
          <w:rFonts w:ascii="Adobe Garamond Pro" w:hAnsi="Adobe Garamond Pro"/>
          <w:sz w:val="20"/>
          <w:szCs w:val="20"/>
        </w:rPr>
        <w:t>, što je zasigurno iznenađujući podatak. Od ukupnog broja donesenih presuda zbog propuštanja,</w:t>
      </w:r>
      <w:r w:rsidRPr="00095944">
        <w:rPr>
          <w:rFonts w:ascii="Adobe Garamond Pro" w:hAnsi="Adobe Garamond Pro"/>
          <w:i/>
          <w:sz w:val="20"/>
          <w:szCs w:val="20"/>
        </w:rPr>
        <w:t xml:space="preserve"> u sporovima male vrijednosti doneseno ih je</w:t>
      </w:r>
      <w:r w:rsidRPr="00095944">
        <w:rPr>
          <w:rFonts w:ascii="Adobe Garamond Pro" w:hAnsi="Adobe Garamond Pro"/>
          <w:sz w:val="20"/>
          <w:szCs w:val="20"/>
        </w:rPr>
        <w:t xml:space="preserve"> 80,89 %.</w:t>
      </w:r>
      <w:r w:rsidRPr="00095944">
        <w:rPr>
          <w:rStyle w:val="FootnoteReference"/>
          <w:rFonts w:ascii="Adobe Garamond Pro" w:hAnsi="Adobe Garamond Pro"/>
          <w:sz w:val="20"/>
          <w:szCs w:val="20"/>
        </w:rPr>
        <w:footnoteReference w:id="104"/>
      </w:r>
      <w:r w:rsidRPr="00095944">
        <w:rPr>
          <w:rFonts w:ascii="Adobe Garamond Pro" w:hAnsi="Adobe Garamond Pro"/>
          <w:sz w:val="20"/>
          <w:szCs w:val="20"/>
        </w:rPr>
        <w:t xml:space="preserve"> </w:t>
      </w:r>
      <w:r w:rsidRPr="00095944">
        <w:rPr>
          <w:rFonts w:ascii="Adobe Garamond Pro" w:hAnsi="Adobe Garamond Pro"/>
          <w:i/>
          <w:sz w:val="20"/>
          <w:szCs w:val="20"/>
        </w:rPr>
        <w:t xml:space="preserve">Dakle, sporovi kojih u sudskoj praksi ima najviše, rješavaju se u najvećem broju presudom zbog propuštanja kojom se to čini najbrže. </w:t>
      </w:r>
      <w:r w:rsidRPr="00095944">
        <w:rPr>
          <w:rFonts w:ascii="Adobe Garamond Pro" w:hAnsi="Adobe Garamond Pro"/>
          <w:sz w:val="20"/>
          <w:szCs w:val="20"/>
        </w:rPr>
        <w:t>Upravo to ukazuje na njen nesumnjivo veliki praktični značaj.</w:t>
      </w:r>
    </w:p>
    <w:p w:rsidR="00373172" w:rsidRPr="00095944" w:rsidRDefault="00373172"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 xml:space="preserve">Statistički podaci o donošenju presuda zbog propuštanja u našoj sudskoj praksi, pokazuju da je ova presuda u dosadašnjih 10 godina primjene Zakona o parničnom postupku FBiH opravdala i dokazala potrebu svoga postojanja unatoč još uvijek postojećim </w:t>
      </w:r>
      <w:r w:rsidRPr="00095944">
        <w:rPr>
          <w:rFonts w:ascii="Adobe Garamond Pro" w:hAnsi="Adobe Garamond Pro"/>
          <w:sz w:val="20"/>
          <w:szCs w:val="20"/>
        </w:rPr>
        <w:lastRenderedPageBreak/>
        <w:t>nedostacima u normiranju njenog pobijanja koji će se, vjerujemo, ispraviti u nekoj od budućih izmjena i dopuna toga zakona.</w:t>
      </w:r>
      <w:r w:rsidRPr="00095944">
        <w:rPr>
          <w:rStyle w:val="FootnoteReference"/>
          <w:rFonts w:ascii="Adobe Garamond Pro" w:hAnsi="Adobe Garamond Pro"/>
          <w:sz w:val="20"/>
          <w:szCs w:val="20"/>
        </w:rPr>
        <w:footnoteReference w:id="105"/>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373172" w:rsidP="00C10CE3">
      <w:pPr>
        <w:spacing w:after="0" w:line="240" w:lineRule="auto"/>
        <w:jc w:val="both"/>
        <w:rPr>
          <w:rFonts w:ascii="Adobe Garamond Pro" w:hAnsi="Adobe Garamond Pro"/>
          <w:b/>
        </w:rPr>
      </w:pPr>
      <w:r w:rsidRPr="00095944">
        <w:rPr>
          <w:rFonts w:ascii="Adobe Garamond Pro" w:hAnsi="Adobe Garamond Pro"/>
          <w:b/>
        </w:rPr>
        <w:t>ZAKLJUČAK</w:t>
      </w:r>
    </w:p>
    <w:p w:rsidR="00C10CE3" w:rsidRPr="00095944" w:rsidRDefault="00C10CE3" w:rsidP="00C10CE3">
      <w:pPr>
        <w:spacing w:after="0" w:line="240" w:lineRule="auto"/>
        <w:ind w:firstLine="708"/>
        <w:jc w:val="both"/>
        <w:rPr>
          <w:rFonts w:ascii="Adobe Garamond Pro" w:hAnsi="Adobe Garamond Pro"/>
          <w:b/>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Kontumaciona presuda je izraz potrebe savremenog građanskog postupka da se i u slučaju pasivnog držanja tuženika omogući pružanje pravne zaštite tužitelju u najranijim fazama postupka, a istovremeno da se ne dovede u pitanje pravo tuženika na odbranu od zahtjeva tužbe. Usvim savremenim procesnim sistemima ova presuda doprinosi da postupak pravne zaštite bude kraći, brži, efikasniji i ekonomičniji, a što su neki od najvažnijih zahtjeva postupka civilnog suđenja.</w:t>
      </w:r>
    </w:p>
    <w:p w:rsidR="00373172" w:rsidRPr="00095944" w:rsidRDefault="00373172"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 xml:space="preserve">Ova presuda nije isključivo sankcija tuženiku za njegovu pasivnost izraženu kroz propuštanje dostave odgovora na tužbu ili pristup na ročište (kod presude zbog izostanka). Ona je u najvećoj mjeri i dispozitivna presuda jer svojom svjesnom pasivnošću tuženik se saglašava sa činjenicama iz tužbe (presumpcija) i time doprinosi formiranju činjeničnog supstrata temeljem kojeg sud donosi kontumacionu odluku, odnosno tuženik svojom pasivnošću determiniše sadržaj pravne zaštite koja se pruža ovom meritornom odlukom. Za pasivnost tuženika ovu presumpciju vežu svi savremeni procesni propisi u Europi i SAD. Dakle, naglašeno preovladava afirmativna litiskontestacija u osnovi kontumacione presude. </w:t>
      </w:r>
    </w:p>
    <w:p w:rsidR="00373172" w:rsidRPr="00095944" w:rsidRDefault="00373172" w:rsidP="00C10CE3">
      <w:pPr>
        <w:spacing w:after="0" w:line="240" w:lineRule="auto"/>
        <w:ind w:firstLine="708"/>
        <w:jc w:val="both"/>
        <w:rPr>
          <w:rFonts w:ascii="Adobe Garamond Pro" w:hAnsi="Adobe Garamond Pro"/>
          <w:sz w:val="20"/>
          <w:szCs w:val="20"/>
        </w:rPr>
      </w:pPr>
    </w:p>
    <w:p w:rsidR="00C10CE3" w:rsidRPr="00095944" w:rsidRDefault="00C10CE3" w:rsidP="00C10CE3">
      <w:pPr>
        <w:spacing w:after="0" w:line="240" w:lineRule="auto"/>
        <w:ind w:firstLine="708"/>
        <w:jc w:val="both"/>
        <w:rPr>
          <w:rFonts w:ascii="Adobe Garamond Pro" w:hAnsi="Adobe Garamond Pro"/>
          <w:sz w:val="20"/>
          <w:szCs w:val="20"/>
        </w:rPr>
      </w:pPr>
      <w:r w:rsidRPr="00095944">
        <w:rPr>
          <w:rFonts w:ascii="Adobe Garamond Pro" w:hAnsi="Adobe Garamond Pro"/>
          <w:sz w:val="20"/>
          <w:szCs w:val="20"/>
        </w:rPr>
        <w:t>Takvu pravnu prirodu ova sudska odluka ima u savremenom uporednom pravu, ali i u pravu u BiH, pa se njen opstanak u domaćoj zakonodavnoj praksi ne može dovoditi u pitanje, što ne isključuje potrebu preispitivanja njenih praktičnih efekata radi blagovremenog reagovanja zakonodavca u slučaju potrebe izmjena u njenom normiranju.</w:t>
      </w:r>
    </w:p>
    <w:p w:rsidR="00C10CE3" w:rsidRPr="00095944" w:rsidRDefault="00C10CE3" w:rsidP="00C10CE3">
      <w:pPr>
        <w:spacing w:after="0" w:line="240" w:lineRule="auto"/>
        <w:ind w:firstLine="708"/>
        <w:jc w:val="both"/>
        <w:rPr>
          <w:rFonts w:ascii="Adobe Garamond Pro" w:hAnsi="Adobe Garamond Pro"/>
          <w:sz w:val="20"/>
          <w:szCs w:val="20"/>
        </w:rPr>
      </w:pPr>
    </w:p>
    <w:p w:rsidR="00C10CE3" w:rsidRPr="00095944" w:rsidRDefault="00373172" w:rsidP="00C10CE3">
      <w:pPr>
        <w:spacing w:after="0" w:line="240" w:lineRule="auto"/>
        <w:jc w:val="both"/>
        <w:rPr>
          <w:rFonts w:ascii="Adobe Garamond Pro" w:hAnsi="Adobe Garamond Pro"/>
          <w:b/>
        </w:rPr>
      </w:pPr>
      <w:r w:rsidRPr="00095944">
        <w:rPr>
          <w:rFonts w:ascii="Adobe Garamond Pro" w:hAnsi="Adobe Garamond Pro"/>
          <w:b/>
        </w:rPr>
        <w:t>LITERATURA</w:t>
      </w:r>
    </w:p>
    <w:p w:rsidR="00C10CE3" w:rsidRPr="00095944" w:rsidRDefault="00C10CE3" w:rsidP="00C10CE3">
      <w:pPr>
        <w:spacing w:after="0" w:line="240" w:lineRule="auto"/>
        <w:jc w:val="both"/>
        <w:rPr>
          <w:rFonts w:ascii="Adobe Garamond Pro" w:hAnsi="Adobe Garamond Pro"/>
          <w:b/>
          <w:sz w:val="20"/>
          <w:szCs w:val="20"/>
        </w:rPr>
      </w:pP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Romac</w:t>
      </w:r>
      <w:r w:rsidRPr="00095944">
        <w:rPr>
          <w:rFonts w:ascii="Adobe Garamond Pro" w:hAnsi="Adobe Garamond Pro"/>
          <w:i/>
          <w:sz w:val="20"/>
          <w:szCs w:val="20"/>
        </w:rPr>
        <w:t xml:space="preserve">, Rječnik latinskih pravnih izraza - Vademecum iuridicum, </w:t>
      </w:r>
      <w:r w:rsidRPr="00095944">
        <w:rPr>
          <w:rFonts w:ascii="Adobe Garamond Pro" w:hAnsi="Adobe Garamond Pro"/>
          <w:sz w:val="20"/>
          <w:szCs w:val="20"/>
        </w:rPr>
        <w:t>Zagreb, 1985</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ACC-Europe's 2005; Annual Conference: </w:t>
      </w:r>
      <w:r w:rsidRPr="00095944">
        <w:rPr>
          <w:rFonts w:ascii="Adobe Garamond Pro" w:hAnsi="Adobe Garamond Pro"/>
          <w:i/>
          <w:sz w:val="20"/>
          <w:szCs w:val="20"/>
        </w:rPr>
        <w:t xml:space="preserve">Common Differences between Civil and Common Law Jurisdiction, </w:t>
      </w:r>
      <w:r w:rsidRPr="00095944">
        <w:rPr>
          <w:rFonts w:ascii="Adobe Garamond Pro" w:hAnsi="Adobe Garamond Pro"/>
          <w:sz w:val="20"/>
          <w:szCs w:val="20"/>
        </w:rPr>
        <w:t xml:space="preserve">2005 </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M. Schwab,</w:t>
      </w:r>
      <w:r w:rsidRPr="00095944">
        <w:rPr>
          <w:rFonts w:ascii="Adobe Garamond Pro" w:hAnsi="Adobe Garamond Pro"/>
          <w:i/>
          <w:sz w:val="20"/>
          <w:szCs w:val="20"/>
        </w:rPr>
        <w:t xml:space="preserve"> „Zivilprozessrecht,“ </w:t>
      </w:r>
      <w:r w:rsidRPr="00095944">
        <w:rPr>
          <w:rFonts w:ascii="Adobe Garamond Pro" w:hAnsi="Adobe Garamond Pro"/>
          <w:sz w:val="20"/>
          <w:szCs w:val="20"/>
        </w:rPr>
        <w:t>3. Aflage, München, 2010</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Triva, S. Dika, M: </w:t>
      </w:r>
      <w:r w:rsidRPr="00095944">
        <w:rPr>
          <w:rFonts w:ascii="Adobe Garamond Pro" w:hAnsi="Adobe Garamond Pro"/>
          <w:i/>
          <w:sz w:val="20"/>
          <w:szCs w:val="20"/>
        </w:rPr>
        <w:t>Građansko parnično procesno pravo</w:t>
      </w:r>
      <w:r w:rsidRPr="00095944">
        <w:rPr>
          <w:rFonts w:ascii="Adobe Garamond Pro" w:hAnsi="Adobe Garamond Pro"/>
          <w:sz w:val="20"/>
          <w:szCs w:val="20"/>
        </w:rPr>
        <w:t>,  Narodne novine, Zagreb, 2004</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J. Klebba,</w:t>
      </w:r>
      <w:r w:rsidRPr="00095944">
        <w:rPr>
          <w:rFonts w:ascii="Adobe Garamond Pro" w:hAnsi="Adobe Garamond Pro"/>
          <w:i/>
          <w:sz w:val="20"/>
          <w:szCs w:val="20"/>
        </w:rPr>
        <w:t xml:space="preserve"> Comparativ Civil Procedure - The Civil Law and Anglo-American Common Law, </w:t>
      </w:r>
      <w:r w:rsidRPr="00095944">
        <w:rPr>
          <w:rFonts w:ascii="Adobe Garamond Pro" w:hAnsi="Adobe Garamond Pro"/>
          <w:sz w:val="20"/>
          <w:szCs w:val="20"/>
        </w:rPr>
        <w:t>Pravni život, 54/05, Beograd, 2005</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R. Mullerat,“ </w:t>
      </w:r>
      <w:r w:rsidRPr="00095944">
        <w:rPr>
          <w:rFonts w:ascii="Adobe Garamond Pro" w:hAnsi="Adobe Garamond Pro"/>
          <w:i/>
          <w:sz w:val="20"/>
          <w:szCs w:val="20"/>
        </w:rPr>
        <w:t>Court and Arbitration procedures, Common law &amp; Civil Law compared – Two different but converging  vehicles</w:t>
      </w:r>
      <w:r w:rsidRPr="00095944">
        <w:rPr>
          <w:rFonts w:ascii="Adobe Garamond Pro" w:hAnsi="Adobe Garamond Pro"/>
          <w:sz w:val="20"/>
          <w:szCs w:val="20"/>
        </w:rPr>
        <w:t>,“</w:t>
      </w:r>
      <w:r w:rsidRPr="00095944">
        <w:rPr>
          <w:rFonts w:ascii="Adobe Garamond Pro" w:hAnsi="Adobe Garamond Pro"/>
          <w:i/>
          <w:sz w:val="20"/>
          <w:szCs w:val="20"/>
        </w:rPr>
        <w:t xml:space="preserve"> </w:t>
      </w:r>
      <w:r w:rsidRPr="00095944">
        <w:rPr>
          <w:rFonts w:ascii="Adobe Garamond Pro" w:hAnsi="Adobe Garamond Pro"/>
          <w:sz w:val="20"/>
          <w:szCs w:val="20"/>
        </w:rPr>
        <w:t>USA, 2011</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lastRenderedPageBreak/>
        <w:t>T. Zerres</w:t>
      </w:r>
      <w:r w:rsidRPr="00095944">
        <w:rPr>
          <w:rFonts w:ascii="Adobe Garamond Pro" w:hAnsi="Adobe Garamond Pro"/>
          <w:i/>
          <w:sz w:val="20"/>
          <w:szCs w:val="20"/>
        </w:rPr>
        <w:t>,  Bürgerliches Recht</w:t>
      </w:r>
      <w:r w:rsidRPr="00095944">
        <w:rPr>
          <w:rFonts w:ascii="Adobe Garamond Pro" w:hAnsi="Adobe Garamond Pro"/>
          <w:sz w:val="20"/>
          <w:szCs w:val="20"/>
        </w:rPr>
        <w:t>, Berlin, 2005</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W. Rehberger,</w:t>
      </w:r>
      <w:r w:rsidRPr="00095944">
        <w:rPr>
          <w:rFonts w:ascii="Adobe Garamond Pro" w:hAnsi="Adobe Garamond Pro"/>
          <w:i/>
          <w:sz w:val="20"/>
          <w:szCs w:val="20"/>
        </w:rPr>
        <w:t xml:space="preserve"> „</w:t>
      </w:r>
      <w:r w:rsidRPr="00095944">
        <w:rPr>
          <w:rFonts w:ascii="Adobe Garamond Pro" w:hAnsi="Adobe Garamond Pro"/>
          <w:sz w:val="20"/>
          <w:szCs w:val="20"/>
        </w:rPr>
        <w:t>Probleme bei der Bekämpfung des Versäumungsurteile nach § 396. AZPO,</w:t>
      </w:r>
      <w:r w:rsidRPr="00095944">
        <w:rPr>
          <w:rFonts w:ascii="Adobe Garamond Pro" w:hAnsi="Adobe Garamond Pro"/>
          <w:i/>
          <w:sz w:val="20"/>
          <w:szCs w:val="20"/>
        </w:rPr>
        <w:t xml:space="preserve"> </w:t>
      </w:r>
      <w:r w:rsidRPr="00095944">
        <w:rPr>
          <w:rFonts w:ascii="Adobe Garamond Pro" w:hAnsi="Adobe Garamond Pro"/>
          <w:sz w:val="20"/>
          <w:szCs w:val="20"/>
        </w:rPr>
        <w:t>objavljeni u  „</w:t>
      </w:r>
      <w:r w:rsidRPr="00095944">
        <w:rPr>
          <w:rFonts w:ascii="Adobe Garamond Pro" w:hAnsi="Adobe Garamond Pro"/>
          <w:i/>
          <w:sz w:val="20"/>
          <w:szCs w:val="20"/>
        </w:rPr>
        <w:t>J.G</w:t>
      </w:r>
      <w:r w:rsidRPr="00095944">
        <w:rPr>
          <w:rFonts w:ascii="Adobe Garamond Pro" w:hAnsi="Adobe Garamond Pro"/>
          <w:sz w:val="20"/>
          <w:szCs w:val="20"/>
        </w:rPr>
        <w:t xml:space="preserve">. 103, </w:t>
      </w:r>
      <w:r w:rsidRPr="00095944">
        <w:rPr>
          <w:rFonts w:ascii="Adobe Garamond Pro" w:hAnsi="Adobe Garamond Pro"/>
          <w:i/>
          <w:sz w:val="20"/>
          <w:szCs w:val="20"/>
        </w:rPr>
        <w:t xml:space="preserve">Helb“ </w:t>
      </w:r>
      <w:r w:rsidRPr="00095944">
        <w:rPr>
          <w:rFonts w:ascii="Adobe Garamond Pro" w:hAnsi="Adobe Garamond Pro"/>
          <w:sz w:val="20"/>
          <w:szCs w:val="20"/>
        </w:rPr>
        <w:t>7/8, April 1981</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R. Zöller, </w:t>
      </w:r>
      <w:r w:rsidRPr="00095944">
        <w:rPr>
          <w:rFonts w:ascii="Adobe Garamond Pro" w:hAnsi="Adobe Garamond Pro"/>
          <w:i/>
          <w:sz w:val="20"/>
          <w:szCs w:val="20"/>
        </w:rPr>
        <w:t>Zivilprozessordnung,</w:t>
      </w:r>
      <w:r w:rsidRPr="00095944">
        <w:rPr>
          <w:rFonts w:ascii="Adobe Garamond Pro" w:hAnsi="Adobe Garamond Pro"/>
          <w:sz w:val="20"/>
          <w:szCs w:val="20"/>
        </w:rPr>
        <w:t xml:space="preserve"> 17. Aflage,  Köln, 1991</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W. J. Habscheid, „Das Versämnisverfahren nach deutschem Zivilprozessrecht,“ </w:t>
      </w:r>
      <w:r w:rsidRPr="00095944">
        <w:rPr>
          <w:rFonts w:ascii="Adobe Garamond Pro" w:hAnsi="Adobe Garamond Pro"/>
          <w:i/>
          <w:sz w:val="20"/>
          <w:szCs w:val="20"/>
        </w:rPr>
        <w:t>XI. Internationaler Kongres für</w:t>
      </w:r>
      <w:r w:rsidRPr="00095944">
        <w:rPr>
          <w:rFonts w:ascii="Adobe Garamond Pro" w:hAnsi="Adobe Garamond Pro"/>
          <w:sz w:val="20"/>
          <w:szCs w:val="20"/>
        </w:rPr>
        <w:t xml:space="preserve"> </w:t>
      </w:r>
      <w:r w:rsidRPr="00095944">
        <w:rPr>
          <w:rFonts w:ascii="Adobe Garamond Pro" w:hAnsi="Adobe Garamond Pro"/>
          <w:i/>
          <w:sz w:val="20"/>
          <w:szCs w:val="20"/>
        </w:rPr>
        <w:t xml:space="preserve">Rechtsvergleichung, </w:t>
      </w:r>
      <w:r w:rsidRPr="00095944">
        <w:rPr>
          <w:rFonts w:ascii="Adobe Garamond Pro" w:hAnsi="Adobe Garamond Pro"/>
          <w:sz w:val="20"/>
          <w:szCs w:val="20"/>
        </w:rPr>
        <w:t>Caracas, 1982</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Pantle/Kreissl</w:t>
      </w:r>
      <w:r w:rsidRPr="00095944">
        <w:rPr>
          <w:rFonts w:ascii="Adobe Garamond Pro" w:hAnsi="Adobe Garamond Pro"/>
          <w:i/>
          <w:sz w:val="20"/>
          <w:szCs w:val="20"/>
        </w:rPr>
        <w:t xml:space="preserve">, Die Praxis das Zivilprozess, </w:t>
      </w:r>
      <w:r w:rsidRPr="00095944">
        <w:rPr>
          <w:rFonts w:ascii="Adobe Garamond Pro" w:hAnsi="Adobe Garamond Pro"/>
          <w:sz w:val="20"/>
          <w:szCs w:val="20"/>
        </w:rPr>
        <w:t>4. Aflage, Stutgard, 2007</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P. Oberhammer,</w:t>
      </w:r>
      <w:r w:rsidRPr="00095944">
        <w:rPr>
          <w:rFonts w:ascii="Adobe Garamond Pro" w:hAnsi="Adobe Garamond Pro"/>
          <w:i/>
          <w:sz w:val="20"/>
          <w:szCs w:val="20"/>
        </w:rPr>
        <w:t xml:space="preserve">  T. </w:t>
      </w:r>
      <w:r w:rsidRPr="00095944">
        <w:rPr>
          <w:rFonts w:ascii="Adobe Garamond Pro" w:hAnsi="Adobe Garamond Pro"/>
          <w:sz w:val="20"/>
          <w:szCs w:val="20"/>
        </w:rPr>
        <w:t>Domej,</w:t>
      </w:r>
      <w:r w:rsidRPr="00095944">
        <w:rPr>
          <w:rFonts w:ascii="Adobe Garamond Pro" w:hAnsi="Adobe Garamond Pro"/>
          <w:i/>
          <w:sz w:val="20"/>
          <w:szCs w:val="20"/>
        </w:rPr>
        <w:t xml:space="preserve"> „</w:t>
      </w:r>
      <w:r w:rsidRPr="00095944">
        <w:rPr>
          <w:rFonts w:ascii="Adobe Garamond Pro" w:hAnsi="Adobe Garamond Pro"/>
          <w:sz w:val="20"/>
          <w:szCs w:val="20"/>
        </w:rPr>
        <w:t>Delay in Austrian Civil Procedure and  Legislators Response,“ objavljeno u „</w:t>
      </w:r>
      <w:r w:rsidRPr="00095944">
        <w:rPr>
          <w:rFonts w:ascii="Adobe Garamond Pro" w:hAnsi="Adobe Garamond Pro"/>
          <w:i/>
          <w:sz w:val="20"/>
          <w:szCs w:val="20"/>
        </w:rPr>
        <w:t xml:space="preserve">Within Reasonable Time: the History of Due and Undue Delay in Civil Litigation.“  </w:t>
      </w:r>
      <w:r w:rsidRPr="00095944">
        <w:rPr>
          <w:rFonts w:ascii="Adobe Garamond Pro" w:hAnsi="Adobe Garamond Pro"/>
          <w:sz w:val="20"/>
          <w:szCs w:val="20"/>
        </w:rPr>
        <w:t>C.H.van Rhee</w:t>
      </w:r>
      <w:r w:rsidRPr="00095944">
        <w:rPr>
          <w:rFonts w:ascii="Adobe Garamond Pro" w:hAnsi="Adobe Garamond Pro"/>
          <w:i/>
          <w:sz w:val="20"/>
          <w:szCs w:val="20"/>
        </w:rPr>
        <w:t xml:space="preserve">, Berlin, </w:t>
      </w:r>
      <w:r w:rsidRPr="00095944">
        <w:rPr>
          <w:rFonts w:ascii="Adobe Garamond Pro" w:hAnsi="Adobe Garamond Pro"/>
          <w:sz w:val="20"/>
          <w:szCs w:val="20"/>
        </w:rPr>
        <w:t>2010</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Sperl,</w:t>
      </w:r>
      <w:r w:rsidRPr="00095944">
        <w:rPr>
          <w:rFonts w:ascii="Adobe Garamond Pro" w:hAnsi="Adobe Garamond Pro"/>
          <w:i/>
          <w:sz w:val="20"/>
          <w:szCs w:val="20"/>
        </w:rPr>
        <w:t xml:space="preserve"> Lehrbuch der burgelichen  Rechtspflege, </w:t>
      </w:r>
      <w:r w:rsidRPr="00095944">
        <w:rPr>
          <w:rFonts w:ascii="Adobe Garamond Pro" w:hAnsi="Adobe Garamond Pro"/>
          <w:sz w:val="20"/>
          <w:szCs w:val="20"/>
        </w:rPr>
        <w:t>Wien, 1930</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i/>
          <w:sz w:val="20"/>
          <w:szCs w:val="20"/>
        </w:rPr>
      </w:pPr>
      <w:r w:rsidRPr="00095944">
        <w:rPr>
          <w:rFonts w:ascii="Adobe Garamond Pro" w:hAnsi="Adobe Garamond Pro"/>
          <w:sz w:val="20"/>
          <w:szCs w:val="20"/>
        </w:rPr>
        <w:t>D. Campbell, C. Campbell,</w:t>
      </w:r>
      <w:r w:rsidRPr="00095944">
        <w:rPr>
          <w:rFonts w:ascii="Adobe Garamond Pro" w:hAnsi="Adobe Garamond Pro"/>
          <w:i/>
          <w:sz w:val="20"/>
          <w:szCs w:val="20"/>
        </w:rPr>
        <w:t xml:space="preserve"> International Civil Procedure, </w:t>
      </w:r>
      <w:r w:rsidRPr="00095944">
        <w:rPr>
          <w:rFonts w:ascii="Adobe Garamond Pro" w:hAnsi="Adobe Garamond Pro"/>
          <w:sz w:val="20"/>
          <w:szCs w:val="20"/>
        </w:rPr>
        <w:t>Second Edition</w:t>
      </w:r>
      <w:r w:rsidRPr="00095944">
        <w:rPr>
          <w:rFonts w:ascii="Adobe Garamond Pro" w:hAnsi="Adobe Garamond Pro"/>
          <w:i/>
          <w:sz w:val="20"/>
          <w:szCs w:val="20"/>
        </w:rPr>
        <w:t>,Yorkhill Law Publishing, 2011</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i/>
          <w:sz w:val="20"/>
          <w:szCs w:val="20"/>
        </w:rPr>
      </w:pPr>
      <w:r w:rsidRPr="00095944">
        <w:rPr>
          <w:rFonts w:ascii="Adobe Garamond Pro" w:hAnsi="Adobe Garamond Pro"/>
          <w:sz w:val="20"/>
          <w:szCs w:val="20"/>
        </w:rPr>
        <w:t xml:space="preserve">S. Grubbs, </w:t>
      </w:r>
      <w:r w:rsidRPr="00095944">
        <w:rPr>
          <w:rFonts w:ascii="Adobe Garamond Pro" w:hAnsi="Adobe Garamond Pro"/>
          <w:i/>
          <w:sz w:val="20"/>
          <w:szCs w:val="20"/>
        </w:rPr>
        <w:t>International Civil Procedure</w:t>
      </w:r>
      <w:r w:rsidRPr="00095944">
        <w:rPr>
          <w:rFonts w:ascii="Adobe Garamond Pro" w:hAnsi="Adobe Garamond Pro"/>
          <w:sz w:val="20"/>
          <w:szCs w:val="20"/>
        </w:rPr>
        <w:t>, The Hague, London New York, 2003</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P. Ranjard.,</w:t>
      </w:r>
      <w:r w:rsidRPr="00095944">
        <w:rPr>
          <w:rFonts w:ascii="Adobe Garamond Pro" w:hAnsi="Adobe Garamond Pro"/>
          <w:i/>
          <w:sz w:val="20"/>
          <w:szCs w:val="20"/>
        </w:rPr>
        <w:t xml:space="preserve"> </w:t>
      </w:r>
      <w:r w:rsidRPr="00095944">
        <w:rPr>
          <w:rFonts w:ascii="Adobe Garamond Pro" w:hAnsi="Adobe Garamond Pro"/>
          <w:sz w:val="20"/>
          <w:szCs w:val="20"/>
        </w:rPr>
        <w:t>„</w:t>
      </w:r>
      <w:r w:rsidRPr="00095944">
        <w:rPr>
          <w:rFonts w:ascii="Adobe Garamond Pro" w:hAnsi="Adobe Garamond Pro"/>
          <w:i/>
          <w:sz w:val="20"/>
          <w:szCs w:val="20"/>
        </w:rPr>
        <w:t>A Comparative Study between Civil Procedure of France, Germany and China</w:t>
      </w:r>
      <w:r w:rsidRPr="00095944">
        <w:rPr>
          <w:rFonts w:ascii="Adobe Garamond Pro" w:hAnsi="Adobe Garamond Pro"/>
          <w:sz w:val="20"/>
          <w:szCs w:val="20"/>
        </w:rPr>
        <w:t>,“</w:t>
      </w:r>
      <w:r w:rsidRPr="00095944">
        <w:rPr>
          <w:rFonts w:ascii="Adobe Garamond Pro" w:hAnsi="Adobe Garamond Pro"/>
          <w:i/>
          <w:sz w:val="20"/>
          <w:szCs w:val="20"/>
        </w:rPr>
        <w:t xml:space="preserve"> EU-China, IPR-2, May </w:t>
      </w:r>
      <w:r w:rsidRPr="00095944">
        <w:rPr>
          <w:rFonts w:ascii="Adobe Garamond Pro" w:hAnsi="Adobe Garamond Pro"/>
          <w:sz w:val="20"/>
          <w:szCs w:val="20"/>
        </w:rPr>
        <w:t>2011</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O'Hara &amp; Brown: </w:t>
      </w:r>
      <w:r w:rsidRPr="00095944">
        <w:rPr>
          <w:rFonts w:ascii="Adobe Garamond Pro" w:hAnsi="Adobe Garamond Pro"/>
          <w:i/>
          <w:sz w:val="20"/>
          <w:szCs w:val="20"/>
        </w:rPr>
        <w:t>Civil Litigation</w:t>
      </w:r>
      <w:r w:rsidRPr="00095944">
        <w:rPr>
          <w:rFonts w:ascii="Adobe Garamond Pro" w:hAnsi="Adobe Garamond Pro"/>
          <w:sz w:val="20"/>
          <w:szCs w:val="20"/>
        </w:rPr>
        <w:t>, London, 2005</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Z. Mataga,“</w:t>
      </w:r>
      <w:r w:rsidRPr="00095944">
        <w:rPr>
          <w:rFonts w:ascii="Adobe Garamond Pro" w:hAnsi="Adobe Garamond Pro"/>
          <w:i/>
          <w:sz w:val="20"/>
          <w:szCs w:val="20"/>
        </w:rPr>
        <w:t xml:space="preserve">Effectiveness of domestic remedies under the European convention on human rights“(Article 13), </w:t>
      </w:r>
      <w:r w:rsidRPr="00095944">
        <w:rPr>
          <w:rFonts w:ascii="Adobe Garamond Pro" w:hAnsi="Adobe Garamond Pro"/>
          <w:sz w:val="20"/>
          <w:szCs w:val="20"/>
        </w:rPr>
        <w:t>Budapest, 2002</w:t>
      </w:r>
    </w:p>
    <w:p w:rsidR="00C10CE3" w:rsidRPr="00095944" w:rsidRDefault="00C10CE3" w:rsidP="00773023">
      <w:pPr>
        <w:pStyle w:val="ListParagraph"/>
        <w:numPr>
          <w:ilvl w:val="0"/>
          <w:numId w:val="1"/>
        </w:numPr>
        <w:spacing w:after="0" w:line="240" w:lineRule="auto"/>
        <w:ind w:left="284" w:hanging="284"/>
        <w:jc w:val="both"/>
        <w:rPr>
          <w:rFonts w:ascii="Adobe Garamond Pro" w:hAnsi="Adobe Garamond Pro"/>
          <w:sz w:val="20"/>
          <w:szCs w:val="20"/>
        </w:rPr>
      </w:pPr>
      <w:r w:rsidRPr="00095944">
        <w:rPr>
          <w:rFonts w:ascii="Adobe Garamond Pro" w:hAnsi="Adobe Garamond Pro"/>
          <w:sz w:val="20"/>
          <w:szCs w:val="20"/>
        </w:rPr>
        <w:t xml:space="preserve">Harland, </w:t>
      </w:r>
      <w:r w:rsidRPr="00095944">
        <w:rPr>
          <w:rFonts w:ascii="Adobe Garamond Pro" w:hAnsi="Adobe Garamond Pro"/>
          <w:i/>
          <w:sz w:val="20"/>
          <w:szCs w:val="20"/>
        </w:rPr>
        <w:t>et.al</w:t>
      </w:r>
      <w:r w:rsidRPr="00095944">
        <w:rPr>
          <w:rFonts w:ascii="Adobe Garamond Pro" w:hAnsi="Adobe Garamond Pro"/>
          <w:sz w:val="20"/>
          <w:szCs w:val="20"/>
        </w:rPr>
        <w:t>., „</w:t>
      </w:r>
      <w:r w:rsidRPr="00095944">
        <w:rPr>
          <w:rFonts w:ascii="Adobe Garamond Pro" w:hAnsi="Adobe Garamond Pro"/>
          <w:i/>
          <w:sz w:val="20"/>
          <w:szCs w:val="20"/>
        </w:rPr>
        <w:t xml:space="preserve">Komentar Europske konvencije o ljudskim pravima prema praksi u Bosni i Hercegovini i Strasbourgu,“ </w:t>
      </w:r>
      <w:r w:rsidRPr="00095944">
        <w:rPr>
          <w:rFonts w:ascii="Adobe Garamond Pro" w:hAnsi="Adobe Garamond Pro"/>
          <w:sz w:val="20"/>
          <w:szCs w:val="20"/>
        </w:rPr>
        <w:t>Vijeće Europe, Sarajevo, 2003</w:t>
      </w:r>
    </w:p>
    <w:p w:rsidR="00E42784" w:rsidRPr="00E42784" w:rsidRDefault="00C10CE3" w:rsidP="00C10CE3">
      <w:pPr>
        <w:spacing w:after="0" w:line="240" w:lineRule="auto"/>
        <w:jc w:val="both"/>
        <w:rPr>
          <w:rFonts w:ascii="Adobe Garamond Pro" w:hAnsi="Adobe Garamond Pro"/>
        </w:rPr>
      </w:pPr>
      <w:r w:rsidRPr="00E42784">
        <w:rPr>
          <w:rFonts w:ascii="Adobe Garamond Pro" w:hAnsi="Adobe Garamond Pro"/>
        </w:rPr>
        <w:t xml:space="preserve"> </w:t>
      </w:r>
    </w:p>
    <w:p w:rsidR="00474557" w:rsidRDefault="00474557">
      <w:pPr>
        <w:rPr>
          <w:rFonts w:ascii="Adobe Garamond Pro" w:hAnsi="Adobe Garamond Pro" w:cs="Times New Roman"/>
          <w:lang w:val="bs-Latn-BA"/>
        </w:rPr>
      </w:pPr>
      <w:r>
        <w:rPr>
          <w:rFonts w:ascii="Adobe Garamond Pro" w:hAnsi="Adobe Garamond Pro" w:cs="Times New Roman"/>
          <w:lang w:val="bs-Latn-BA"/>
        </w:rPr>
        <w:br w:type="page"/>
      </w:r>
    </w:p>
    <w:p w:rsidR="002D2430" w:rsidRPr="00A1095F" w:rsidRDefault="002D2430" w:rsidP="00E42784">
      <w:pPr>
        <w:spacing w:after="0" w:line="240" w:lineRule="auto"/>
        <w:jc w:val="both"/>
        <w:rPr>
          <w:rFonts w:ascii="Adobe Garamond Pro" w:hAnsi="Adobe Garamond Pro" w:cs="Times New Roman"/>
          <w:lang w:val="bs-Latn-BA"/>
        </w:rPr>
      </w:pPr>
    </w:p>
    <w:sectPr w:rsidR="002D2430" w:rsidRPr="00A1095F" w:rsidSect="00D3545E">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4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3E" w:rsidRDefault="00D4503E" w:rsidP="000C691C">
      <w:pPr>
        <w:spacing w:after="0" w:line="240" w:lineRule="auto"/>
      </w:pPr>
      <w:r>
        <w:separator/>
      </w:r>
    </w:p>
  </w:endnote>
  <w:endnote w:type="continuationSeparator" w:id="1">
    <w:p w:rsidR="00D4503E" w:rsidRDefault="00D4503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D330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3545E">
      <w:rPr>
        <w:rFonts w:ascii="Adobe Garamond Pro" w:hAnsi="Adobe Garamond Pro" w:cs="Times New Roman"/>
        <w:noProof/>
        <w:sz w:val="20"/>
        <w:szCs w:val="20"/>
      </w:rPr>
      <w:t>478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D330A"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D330A" w:rsidRPr="00FE57C1">
      <w:rPr>
        <w:rFonts w:ascii="Adobe Garamond Pro" w:hAnsi="Adobe Garamond Pro" w:cs="Times New Roman"/>
        <w:sz w:val="20"/>
        <w:szCs w:val="20"/>
      </w:rPr>
      <w:fldChar w:fldCharType="separate"/>
    </w:r>
    <w:r w:rsidR="00D3545E">
      <w:rPr>
        <w:rFonts w:ascii="Adobe Garamond Pro" w:hAnsi="Adobe Garamond Pro" w:cs="Times New Roman"/>
        <w:noProof/>
        <w:sz w:val="20"/>
        <w:szCs w:val="20"/>
      </w:rPr>
      <w:t>477</w:t>
    </w:r>
    <w:r w:rsidR="00DD330A"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D330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3545E">
      <w:rPr>
        <w:rFonts w:ascii="Adobe Garamond Pro" w:hAnsi="Adobe Garamond Pro" w:cs="Times New Roman"/>
        <w:noProof/>
        <w:sz w:val="20"/>
        <w:szCs w:val="20"/>
      </w:rPr>
      <w:t>459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3E" w:rsidRDefault="00D4503E" w:rsidP="000C691C">
      <w:pPr>
        <w:spacing w:after="0" w:line="240" w:lineRule="auto"/>
      </w:pPr>
      <w:r>
        <w:separator/>
      </w:r>
    </w:p>
  </w:footnote>
  <w:footnote w:type="continuationSeparator" w:id="1">
    <w:p w:rsidR="00D4503E" w:rsidRDefault="00D4503E" w:rsidP="000C691C">
      <w:pPr>
        <w:spacing w:after="0" w:line="240" w:lineRule="auto"/>
      </w:pPr>
      <w:r>
        <w:continuationSeparator/>
      </w:r>
    </w:p>
  </w:footnote>
  <w:footnote w:id="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Lat. </w:t>
      </w:r>
      <w:r w:rsidRPr="00095944">
        <w:rPr>
          <w:rFonts w:ascii="Adobe Garamond Pro" w:hAnsi="Adobe Garamond Pro"/>
          <w:i/>
          <w:sz w:val="18"/>
          <w:szCs w:val="18"/>
          <w:lang w:val="bs-Latn-BA"/>
        </w:rPr>
        <w:t>Contumacia</w:t>
      </w:r>
      <w:r w:rsidRPr="00095944">
        <w:rPr>
          <w:rFonts w:ascii="Adobe Garamond Pro" w:hAnsi="Adobe Garamond Pro"/>
          <w:sz w:val="18"/>
          <w:szCs w:val="18"/>
          <w:lang w:val="bs-Latn-BA"/>
        </w:rPr>
        <w:t xml:space="preserve"> - tvrdoglavost, neposlušnost. A. Romac</w:t>
      </w:r>
      <w:r w:rsidRPr="00095944">
        <w:rPr>
          <w:rFonts w:ascii="Adobe Garamond Pro" w:hAnsi="Adobe Garamond Pro"/>
          <w:i/>
          <w:sz w:val="18"/>
          <w:szCs w:val="18"/>
          <w:lang w:val="bs-Latn-BA"/>
        </w:rPr>
        <w:t xml:space="preserve">, Rječnik latinskih pravnih izraza - Vademecum iuridicum, </w:t>
      </w:r>
      <w:r w:rsidRPr="00095944">
        <w:rPr>
          <w:rFonts w:ascii="Adobe Garamond Pro" w:hAnsi="Adobe Garamond Pro"/>
          <w:sz w:val="18"/>
          <w:szCs w:val="18"/>
          <w:lang w:val="bs-Latn-BA"/>
        </w:rPr>
        <w:t xml:space="preserve">Zagreb, 1985, str. 53. </w:t>
      </w:r>
    </w:p>
  </w:footnote>
  <w:footnote w:id="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Iako načelo kontradiktornosti omogućava ostvarenje ravnopravnog i jednakog položaja  parničara pred sudom (</w:t>
      </w:r>
      <w:r w:rsidRPr="00095944">
        <w:rPr>
          <w:rFonts w:ascii="Adobe Garamond Pro" w:hAnsi="Adobe Garamond Pro"/>
          <w:i/>
          <w:sz w:val="18"/>
          <w:szCs w:val="18"/>
          <w:lang w:val="bs-Latn-BA"/>
        </w:rPr>
        <w:t>audiatur et altera pars</w:t>
      </w:r>
      <w:r w:rsidRPr="00095944">
        <w:rPr>
          <w:rFonts w:ascii="Adobe Garamond Pro" w:hAnsi="Adobe Garamond Pro"/>
          <w:sz w:val="18"/>
          <w:szCs w:val="18"/>
          <w:lang w:val="bs-Latn-BA"/>
        </w:rPr>
        <w:t xml:space="preserve">) ipak sud nema djelotvorna sredstva da primora pasivnu parničnu stranku da pristupi i da se izjasni o predmetu spora, odnosno da se koristi svojim procesnim ovlaštenjima u tome pogledu. Vidi: S. Omanović, </w:t>
      </w:r>
      <w:r w:rsidRPr="00095944">
        <w:rPr>
          <w:rFonts w:ascii="Adobe Garamond Pro" w:hAnsi="Adobe Garamond Pro"/>
          <w:i/>
          <w:sz w:val="18"/>
          <w:szCs w:val="18"/>
          <w:lang w:val="bs-Latn-BA"/>
        </w:rPr>
        <w:t>Contumacia, op. cit</w:t>
      </w:r>
      <w:r w:rsidRPr="00095944">
        <w:rPr>
          <w:rFonts w:ascii="Adobe Garamond Pro" w:hAnsi="Adobe Garamond Pro"/>
          <w:sz w:val="18"/>
          <w:szCs w:val="18"/>
          <w:lang w:val="bs-Latn-BA"/>
        </w:rPr>
        <w:t>., str.6.</w:t>
      </w:r>
    </w:p>
  </w:footnote>
  <w:footnote w:id="4">
    <w:p w:rsidR="00C10CE3" w:rsidRPr="00095944" w:rsidRDefault="00C10CE3" w:rsidP="00C10CE3">
      <w:pPr>
        <w:pStyle w:val="FootnoteText"/>
        <w:rPr>
          <w:rFonts w:ascii="Adobe Garamond Pro" w:hAnsi="Adobe Garamond Pro"/>
          <w:i/>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Detaljnije o tome vidi: </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A. Berger, </w:t>
      </w:r>
      <w:r w:rsidRPr="00095944">
        <w:rPr>
          <w:rFonts w:ascii="Adobe Garamond Pro" w:hAnsi="Adobe Garamond Pro"/>
          <w:i/>
          <w:sz w:val="18"/>
          <w:szCs w:val="18"/>
          <w:lang w:val="bs-Latn-BA"/>
        </w:rPr>
        <w:t xml:space="preserve">Encyclopedic Dictionary of Roman Law, </w:t>
      </w:r>
      <w:r w:rsidRPr="00095944">
        <w:rPr>
          <w:rFonts w:ascii="Adobe Garamond Pro" w:hAnsi="Adobe Garamond Pro"/>
          <w:sz w:val="18"/>
          <w:szCs w:val="18"/>
          <w:lang w:val="bs-Latn-BA"/>
        </w:rPr>
        <w:t>Philadelphia, 1953, str. 415.</w:t>
      </w:r>
      <w:r w:rsidRPr="00095944">
        <w:rPr>
          <w:rFonts w:ascii="Adobe Garamond Pro" w:hAnsi="Adobe Garamond Pro"/>
          <w:i/>
          <w:sz w:val="18"/>
          <w:szCs w:val="18"/>
          <w:lang w:val="bs-Latn-BA"/>
        </w:rPr>
        <w:t xml:space="preserve">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Istu definiciju, u bitnome, daju 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M. Burill,</w:t>
      </w:r>
      <w:r w:rsidRPr="00095944">
        <w:rPr>
          <w:rFonts w:ascii="Adobe Garamond Pro" w:hAnsi="Adobe Garamond Pro"/>
          <w:i/>
          <w:sz w:val="18"/>
          <w:szCs w:val="18"/>
          <w:lang w:val="bs-Latn-BA"/>
        </w:rPr>
        <w:t xml:space="preserve"> A New Dictionary and Glosary, </w:t>
      </w:r>
      <w:r w:rsidRPr="00095944">
        <w:rPr>
          <w:rFonts w:ascii="Adobe Garamond Pro" w:hAnsi="Adobe Garamond Pro"/>
          <w:sz w:val="18"/>
          <w:szCs w:val="18"/>
          <w:lang w:val="bs-Latn-BA"/>
        </w:rPr>
        <w:t>USA, 1998., str. 280.</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tako 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J.S. Warton</w:t>
      </w:r>
      <w:r w:rsidRPr="00095944">
        <w:rPr>
          <w:rFonts w:ascii="Adobe Garamond Pro" w:hAnsi="Adobe Garamond Pro"/>
          <w:i/>
          <w:sz w:val="18"/>
          <w:szCs w:val="18"/>
          <w:lang w:val="bs-Latn-BA"/>
        </w:rPr>
        <w:t>, Dictionary of Juriprudence</w:t>
      </w:r>
      <w:r w:rsidRPr="00095944">
        <w:rPr>
          <w:rFonts w:ascii="Adobe Garamond Pro" w:hAnsi="Adobe Garamond Pro"/>
          <w:sz w:val="18"/>
          <w:szCs w:val="18"/>
          <w:lang w:val="bs-Latn-BA"/>
        </w:rPr>
        <w:t>, London, 1841, str. 138.</w:t>
      </w:r>
    </w:p>
  </w:footnote>
  <w:footnote w:id="5">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Vidi: A. Black</w:t>
      </w:r>
      <w:r w:rsidRPr="00095944">
        <w:rPr>
          <w:rFonts w:ascii="Adobe Garamond Pro" w:hAnsi="Adobe Garamond Pro"/>
          <w:i/>
          <w:sz w:val="18"/>
          <w:szCs w:val="18"/>
          <w:lang w:val="bs-Latn-BA"/>
        </w:rPr>
        <w:t>, Dictionary of Law</w:t>
      </w:r>
      <w:r w:rsidRPr="00095944">
        <w:rPr>
          <w:rFonts w:ascii="Adobe Garamond Pro" w:hAnsi="Adobe Garamond Pro"/>
          <w:sz w:val="18"/>
          <w:szCs w:val="18"/>
          <w:lang w:val="bs-Latn-BA"/>
        </w:rPr>
        <w:t>, New Jersey, 2004, str. 271.</w:t>
      </w:r>
    </w:p>
  </w:footnote>
  <w:footnote w:id="6">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Lat. –  tvrdoglav, nepokoran, onaj ko se ne odaziva naredbama ili pozivima suda. A Romac,</w:t>
      </w:r>
      <w:r w:rsidRPr="00095944">
        <w:rPr>
          <w:rFonts w:ascii="Adobe Garamond Pro" w:hAnsi="Adobe Garamond Pro"/>
          <w:i/>
          <w:sz w:val="18"/>
          <w:szCs w:val="18"/>
          <w:lang w:val="bs-Latn-BA"/>
        </w:rPr>
        <w:t xml:space="preserve"> Rječnik latinskih pravnih izraza, op. cit.,</w:t>
      </w:r>
      <w:r w:rsidRPr="00095944">
        <w:rPr>
          <w:rFonts w:ascii="Adobe Garamond Pro" w:hAnsi="Adobe Garamond Pro"/>
          <w:sz w:val="18"/>
          <w:szCs w:val="18"/>
          <w:lang w:val="bs-Latn-BA"/>
        </w:rPr>
        <w:t xml:space="preserve"> str. 271.</w:t>
      </w:r>
    </w:p>
  </w:footnote>
  <w:footnote w:id="7">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Tako: N. Andrew,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92.</w:t>
      </w:r>
    </w:p>
  </w:footnote>
  <w:footnote w:id="8">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Detaljnije o ovim stajalištima vidi: J. Čizmić</w:t>
      </w:r>
      <w:r w:rsidRPr="00095944">
        <w:rPr>
          <w:rFonts w:ascii="Adobe Garamond Pro" w:hAnsi="Adobe Garamond Pro"/>
          <w:i/>
          <w:sz w:val="18"/>
          <w:szCs w:val="18"/>
          <w:lang w:val="bs-Latn-BA"/>
        </w:rPr>
        <w:t xml:space="preserve">, Presuda zbog izostanka u građanskom parničnom postupku, </w:t>
      </w:r>
      <w:r w:rsidRPr="00095944">
        <w:rPr>
          <w:rFonts w:ascii="Adobe Garamond Pro" w:hAnsi="Adobe Garamond Pro"/>
          <w:sz w:val="18"/>
          <w:szCs w:val="18"/>
          <w:lang w:val="bs-Latn-BA"/>
        </w:rPr>
        <w:t>(Doktorska disertacija, Pravni fakultet, Split, 2001.</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str. 9. i</w:t>
      </w:r>
      <w:r w:rsidRPr="00095944">
        <w:rPr>
          <w:rFonts w:ascii="Adobe Garamond Pro" w:hAnsi="Adobe Garamond Pro"/>
          <w:i/>
          <w:sz w:val="18"/>
          <w:szCs w:val="18"/>
          <w:lang w:val="bs-Latn-BA"/>
        </w:rPr>
        <w:t xml:space="preserve"> Z. </w:t>
      </w:r>
      <w:r w:rsidRPr="00095944">
        <w:rPr>
          <w:rFonts w:ascii="Adobe Garamond Pro" w:hAnsi="Adobe Garamond Pro"/>
          <w:sz w:val="18"/>
          <w:szCs w:val="18"/>
          <w:lang w:val="bs-Latn-BA"/>
        </w:rPr>
        <w:t>Đurović</w:t>
      </w:r>
      <w:r w:rsidRPr="00095944">
        <w:rPr>
          <w:rFonts w:ascii="Adobe Garamond Pro" w:hAnsi="Adobe Garamond Pro"/>
          <w:i/>
          <w:sz w:val="18"/>
          <w:szCs w:val="18"/>
          <w:lang w:val="bs-Latn-BA"/>
        </w:rPr>
        <w:t xml:space="preserve">, Presuda zbog izostanka u jugoslovenskom pravu, </w:t>
      </w:r>
      <w:r w:rsidRPr="00095944">
        <w:rPr>
          <w:rFonts w:ascii="Adobe Garamond Pro" w:hAnsi="Adobe Garamond Pro"/>
          <w:sz w:val="18"/>
          <w:szCs w:val="18"/>
          <w:lang w:val="bs-Latn-BA"/>
        </w:rPr>
        <w:t>(Doktorska disertacija, Pravni fakultet, Beograd, 1965, str. 132.)</w:t>
      </w:r>
    </w:p>
  </w:footnote>
  <w:footnote w:id="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Presuda zbog propuštanja nalazi svoje opravdanje u tome što se njome ne dopušta da potpuno pasivan stav tuženog usporava razvoj postupka dokazivanjem činjenica na kojima je tužbeni zahtjev zasnovan. Vidi: B. Poznić,V. Rakić-Vodinelić</w:t>
      </w:r>
      <w:r w:rsidRPr="00095944">
        <w:rPr>
          <w:rFonts w:ascii="Adobe Garamond Pro" w:hAnsi="Adobe Garamond Pro"/>
          <w:i/>
          <w:sz w:val="18"/>
          <w:szCs w:val="18"/>
          <w:lang w:val="bs-Latn-BA"/>
        </w:rPr>
        <w:t>, Građansko procesno pravo</w:t>
      </w:r>
      <w:r w:rsidRPr="00095944">
        <w:rPr>
          <w:rFonts w:ascii="Adobe Garamond Pro" w:hAnsi="Adobe Garamond Pro"/>
          <w:sz w:val="18"/>
          <w:szCs w:val="18"/>
          <w:lang w:val="bs-Latn-BA"/>
        </w:rPr>
        <w:t>,  Savremena Administracija, Beograd, 2010, str. 368.</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Institut presude zbog ogluhe (propuštanja) nije negiranje, nego upravo dosljedna posljedica primjene načela saslušanja stranaka.  U tome smislu: S. Triva, M.  Dika</w:t>
      </w:r>
      <w:r w:rsidRPr="00095944">
        <w:rPr>
          <w:rFonts w:ascii="Adobe Garamond Pro" w:hAnsi="Adobe Garamond Pro"/>
          <w:i/>
          <w:sz w:val="18"/>
          <w:szCs w:val="18"/>
          <w:lang w:val="bs-Latn-BA"/>
        </w:rPr>
        <w:t xml:space="preserve">, Građansko parnično procesno pravo, op. cit. </w:t>
      </w:r>
      <w:r w:rsidRPr="00095944">
        <w:rPr>
          <w:rFonts w:ascii="Adobe Garamond Pro" w:hAnsi="Adobe Garamond Pro"/>
          <w:sz w:val="18"/>
          <w:szCs w:val="18"/>
          <w:lang w:val="bs-Latn-BA"/>
        </w:rPr>
        <w:t>str. 604.</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Savremeni pravni promet nameće potrebu brzog i djelotvornog rješavanja pravnih sporova. Skupo i dugotrajno parničenje, odnosno odugovlačenje u pružanju pravne zaštite nanosi štetu i stranci koja uspije u sporu. Odsutnost, odnosno neaktivnost stranaka u postupku je dugo prisutna pojava i već dugi niz godina zakonodavci nastoje pronaći mjere koje bi vodile otklanjanju negativnih učinaka neaktivnosti stranaka na tok parničnog postupka. Tako J. Čizmić,</w:t>
      </w:r>
      <w:r w:rsidRPr="00095944">
        <w:rPr>
          <w:rFonts w:ascii="Adobe Garamond Pro" w:hAnsi="Adobe Garamond Pro"/>
          <w:i/>
          <w:sz w:val="18"/>
          <w:szCs w:val="18"/>
          <w:lang w:val="bs-Latn-BA"/>
        </w:rPr>
        <w:t xml:space="preserve"> Komentar Zakona o parničnom postupku Federacije BiH</w:t>
      </w:r>
      <w:r w:rsidRPr="00095944">
        <w:rPr>
          <w:rFonts w:ascii="Adobe Garamond Pro" w:hAnsi="Adobe Garamond Pro"/>
          <w:sz w:val="18"/>
          <w:szCs w:val="18"/>
          <w:lang w:val="bs-Latn-BA"/>
        </w:rPr>
        <w:t xml:space="preserve">,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397.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i/>
          <w:sz w:val="18"/>
          <w:szCs w:val="18"/>
          <w:lang w:val="bs-Latn-BA"/>
        </w:rPr>
        <w:t>Ratio legis</w:t>
      </w:r>
      <w:r w:rsidRPr="00095944">
        <w:rPr>
          <w:rFonts w:ascii="Adobe Garamond Pro" w:hAnsi="Adobe Garamond Pro"/>
          <w:sz w:val="18"/>
          <w:szCs w:val="18"/>
          <w:lang w:val="bs-Latn-BA"/>
        </w:rPr>
        <w:t xml:space="preserve"> kontumacione presude u parničnom postupku je u tome da se tuženiku onemogući sprečavanje ili otežavanje toka parnice. Usp. B. Čalija, S. Omanović</w:t>
      </w:r>
      <w:r w:rsidRPr="00095944">
        <w:rPr>
          <w:rFonts w:ascii="Adobe Garamond Pro" w:hAnsi="Adobe Garamond Pro"/>
          <w:i/>
          <w:sz w:val="18"/>
          <w:szCs w:val="18"/>
          <w:lang w:val="bs-Latn-BA"/>
        </w:rPr>
        <w:t xml:space="preserve">, op. cit., </w:t>
      </w:r>
      <w:r w:rsidRPr="00095944">
        <w:rPr>
          <w:rFonts w:ascii="Adobe Garamond Pro" w:hAnsi="Adobe Garamond Pro"/>
          <w:sz w:val="18"/>
          <w:szCs w:val="18"/>
          <w:lang w:val="bs-Latn-BA"/>
        </w:rPr>
        <w:t>str. 264</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Tako 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S. Omanović</w:t>
      </w:r>
      <w:r w:rsidRPr="00095944">
        <w:rPr>
          <w:rFonts w:ascii="Adobe Garamond Pro" w:hAnsi="Adobe Garamond Pro"/>
          <w:i/>
          <w:sz w:val="18"/>
          <w:szCs w:val="18"/>
          <w:lang w:val="bs-Latn-BA"/>
        </w:rPr>
        <w:t>, Contumacia, op. cit.,</w:t>
      </w:r>
      <w:r w:rsidRPr="00095944">
        <w:rPr>
          <w:rFonts w:ascii="Adobe Garamond Pro" w:hAnsi="Adobe Garamond Pro"/>
          <w:sz w:val="18"/>
          <w:szCs w:val="18"/>
          <w:lang w:val="bs-Latn-BA"/>
        </w:rPr>
        <w:t xml:space="preserve"> str. 6.</w:t>
      </w:r>
    </w:p>
  </w:footnote>
  <w:footnote w:id="10">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Zakon je usvojen 30. 12. 1877. godine. U daljem tekstu ovaj zakon će biti citiran kao DZPO,(Deutsche ZPO)</w:t>
      </w:r>
    </w:p>
  </w:footnote>
  <w:footnote w:id="11">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Pojam propuštanja podrazumijeva nevršenje parničnih radnji, a izostanak sa ročišta je samo jedan od oblika propuštanja. U tome smislu i DZPO koristi isti naziv za sve kontumacione presude –„</w:t>
      </w:r>
      <w:r w:rsidRPr="00095944">
        <w:rPr>
          <w:rFonts w:ascii="Adobe Garamond Pro" w:hAnsi="Adobe Garamond Pro"/>
          <w:i/>
          <w:sz w:val="18"/>
          <w:szCs w:val="18"/>
          <w:lang w:val="bs-Latn-BA"/>
        </w:rPr>
        <w:t>Versäumnisurteil</w:t>
      </w:r>
      <w:r w:rsidRPr="00095944">
        <w:rPr>
          <w:rFonts w:ascii="Adobe Garamond Pro" w:hAnsi="Adobe Garamond Pro"/>
          <w:sz w:val="18"/>
          <w:szCs w:val="18"/>
          <w:lang w:val="bs-Latn-BA"/>
        </w:rPr>
        <w:t>“ („</w:t>
      </w:r>
      <w:r w:rsidRPr="00095944">
        <w:rPr>
          <w:rFonts w:ascii="Adobe Garamond Pro" w:hAnsi="Adobe Garamond Pro"/>
          <w:i/>
          <w:sz w:val="18"/>
          <w:szCs w:val="18"/>
          <w:lang w:val="bs-Latn-BA"/>
        </w:rPr>
        <w:t>Presuda zbog propuštanja“</w:t>
      </w:r>
      <w:r w:rsidRPr="00095944">
        <w:rPr>
          <w:rFonts w:ascii="Adobe Garamond Pro" w:hAnsi="Adobe Garamond Pro"/>
          <w:sz w:val="18"/>
          <w:szCs w:val="18"/>
          <w:lang w:val="bs-Latn-BA"/>
        </w:rPr>
        <w:t>) i uz ovaj naziv dodaje atribute kojima opredjeljuje konkretan tip ove presude, zavisno koja radnja je propuštena. Dakle, pojam „izostanak“(sa usmene rasprave) je uži od pojma „propuštanje“(parnične radnje). Stoga, prevođenje naziva presude zahtijeva obzir na propuštenu parničnu radnju,(ali i na stranku koja propušta).</w:t>
      </w:r>
    </w:p>
  </w:footnote>
  <w:footnote w:id="1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DZPO §276. propisuje postupanje suda kada odluči da ne zakazuje prvi termin za usmenu spornu raspravu nego uz dostavu tužbe od tuženika traži da dostavi pisanu izjavu o namjeri odbrane i, nakon toga, odgovor na tužbu ostavljajući mu za to rokove  i dajući upozorenja o propuštanju tih radnji.</w:t>
      </w:r>
    </w:p>
  </w:footnote>
  <w:footnote w:id="1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O propuštanju roka i povratu u prijašnje stanje vidi: Pantle/Kreissl</w:t>
      </w:r>
      <w:r w:rsidRPr="00095944">
        <w:rPr>
          <w:rFonts w:ascii="Adobe Garamond Pro" w:hAnsi="Adobe Garamond Pro"/>
          <w:i/>
          <w:sz w:val="18"/>
          <w:szCs w:val="18"/>
          <w:lang w:val="bs-Latn-BA"/>
        </w:rPr>
        <w:t xml:space="preserve">, Die Praxis das Zivilprozess, </w:t>
      </w:r>
      <w:r w:rsidRPr="00095944">
        <w:rPr>
          <w:rFonts w:ascii="Adobe Garamond Pro" w:hAnsi="Adobe Garamond Pro"/>
          <w:sz w:val="18"/>
          <w:szCs w:val="18"/>
          <w:lang w:val="bs-Latn-BA"/>
        </w:rPr>
        <w:t>4. Aflage, Stutgard, 2007, str. 166.</w:t>
      </w:r>
    </w:p>
  </w:footnote>
  <w:footnote w:id="1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ZPO § 335/1/4. Usp.  R Schutze,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634.</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Prijedlog za donošenje presude zbog propuštanja dostave obavijesti o namjeri odbrane od tužbe, tužitelj može staviti već u tužbi. Vidi: DZPO § 331/3, alinea 5.</w:t>
      </w:r>
    </w:p>
  </w:footnote>
  <w:footnote w:id="1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DZPO § 338. Više o tome vidjeti:  T. Zerres</w:t>
      </w:r>
      <w:r w:rsidRPr="00095944">
        <w:rPr>
          <w:rFonts w:ascii="Adobe Garamond Pro" w:hAnsi="Adobe Garamond Pro"/>
          <w:i/>
          <w:sz w:val="18"/>
          <w:szCs w:val="18"/>
          <w:lang w:val="bs-Latn-BA"/>
        </w:rPr>
        <w:t>,  Bürgerliches Recht</w:t>
      </w:r>
      <w:r w:rsidRPr="00095944">
        <w:rPr>
          <w:rFonts w:ascii="Adobe Garamond Pro" w:hAnsi="Adobe Garamond Pro"/>
          <w:sz w:val="18"/>
          <w:szCs w:val="18"/>
          <w:lang w:val="bs-Latn-BA"/>
        </w:rPr>
        <w:t>, Berlin, 2005, str. 392.</w:t>
      </w:r>
    </w:p>
    <w:p w:rsidR="00C10CE3" w:rsidRPr="00095944" w:rsidRDefault="00C10CE3" w:rsidP="00C10CE3">
      <w:pPr>
        <w:pStyle w:val="FootnoteText"/>
        <w:rPr>
          <w:rFonts w:ascii="Adobe Garamond Pro" w:hAnsi="Adobe Garamond Pro"/>
          <w:sz w:val="18"/>
          <w:szCs w:val="18"/>
          <w:lang w:val="bs-Latn-BA"/>
        </w:rPr>
      </w:pPr>
      <w:r w:rsidRPr="00095944">
        <w:rPr>
          <w:rFonts w:ascii="Adobe Garamond Pro" w:hAnsi="Adobe Garamond Pro"/>
          <w:sz w:val="18"/>
          <w:szCs w:val="18"/>
          <w:lang w:val="bs-Latn-BA"/>
        </w:rPr>
        <w:t>Usp. G Erkel</w:t>
      </w:r>
      <w:r w:rsidRPr="00095944">
        <w:rPr>
          <w:rFonts w:ascii="Adobe Garamond Pro" w:hAnsi="Adobe Garamond Pro"/>
          <w:i/>
          <w:sz w:val="18"/>
          <w:szCs w:val="18"/>
          <w:lang w:val="bs-Latn-BA"/>
        </w:rPr>
        <w:t xml:space="preserve">,  Zivilprozessrecht, </w:t>
      </w:r>
      <w:r w:rsidRPr="00095944">
        <w:rPr>
          <w:rFonts w:ascii="Adobe Garamond Pro" w:hAnsi="Adobe Garamond Pro"/>
          <w:sz w:val="18"/>
          <w:szCs w:val="18"/>
          <w:lang w:val="bs-Latn-BA"/>
        </w:rPr>
        <w:t>Wiesbaden, 1961, str. 158-160.</w:t>
      </w:r>
      <w:r w:rsidRPr="00095944">
        <w:rPr>
          <w:rFonts w:ascii="Adobe Garamond Pro" w:hAnsi="Adobe Garamond Pro"/>
          <w:i/>
          <w:sz w:val="18"/>
          <w:szCs w:val="18"/>
          <w:lang w:val="bs-Latn-BA"/>
        </w:rPr>
        <w:tab/>
      </w:r>
    </w:p>
  </w:footnote>
  <w:footnote w:id="16">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M. Schwab,</w:t>
      </w:r>
      <w:r w:rsidRPr="00095944">
        <w:rPr>
          <w:rFonts w:ascii="Adobe Garamond Pro" w:hAnsi="Adobe Garamond Pro"/>
          <w:i/>
          <w:sz w:val="18"/>
          <w:szCs w:val="18"/>
          <w:lang w:val="bs-Latn-BA"/>
        </w:rPr>
        <w:t xml:space="preserve"> op. cit</w:t>
      </w:r>
      <w:r w:rsidRPr="00095944">
        <w:rPr>
          <w:rFonts w:ascii="Adobe Garamond Pro" w:hAnsi="Adobe Garamond Pro"/>
          <w:sz w:val="18"/>
          <w:szCs w:val="18"/>
          <w:lang w:val="bs-Latn-BA"/>
        </w:rPr>
        <w:t>., str. 134; Ovaj zakonski rok se ne može produžiti (§ 339 DZPO)</w:t>
      </w:r>
    </w:p>
  </w:footnote>
  <w:footnote w:id="17">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DZPO § 340.  Više 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M. Schwab,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134.</w:t>
      </w:r>
    </w:p>
  </w:footnote>
  <w:footnote w:id="18">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DZPO § 330.  Primjena ove odredba  pretpostavlja da je tužitelj uredno pozvan na raspravu. Usp.</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M. Schwab,</w:t>
      </w:r>
      <w:r w:rsidRPr="00095944">
        <w:rPr>
          <w:rFonts w:ascii="Adobe Garamond Pro" w:hAnsi="Adobe Garamond Pro"/>
          <w:i/>
          <w:sz w:val="18"/>
          <w:szCs w:val="18"/>
          <w:lang w:val="bs-Latn-BA"/>
        </w:rPr>
        <w:t xml:space="preserve"> „Zivilprozessrecht,“ </w:t>
      </w:r>
      <w:r w:rsidRPr="00095944">
        <w:rPr>
          <w:rFonts w:ascii="Adobe Garamond Pro" w:hAnsi="Adobe Garamond Pro"/>
          <w:sz w:val="18"/>
          <w:szCs w:val="18"/>
          <w:lang w:val="bs-Latn-BA"/>
        </w:rPr>
        <w:t>3. Aflage, München, 2010, str. 131.</w:t>
      </w:r>
    </w:p>
  </w:footnote>
  <w:footnote w:id="19">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R. Zöller, </w:t>
      </w:r>
      <w:r w:rsidRPr="00095944">
        <w:rPr>
          <w:rFonts w:ascii="Adobe Garamond Pro" w:hAnsi="Adobe Garamond Pro"/>
          <w:i/>
          <w:sz w:val="18"/>
          <w:szCs w:val="18"/>
          <w:lang w:val="bs-Latn-BA"/>
        </w:rPr>
        <w:t>Zivilprozessordnung,</w:t>
      </w:r>
      <w:r w:rsidRPr="00095944">
        <w:rPr>
          <w:rFonts w:ascii="Adobe Garamond Pro" w:hAnsi="Adobe Garamond Pro"/>
          <w:sz w:val="18"/>
          <w:szCs w:val="18"/>
          <w:lang w:val="bs-Latn-BA"/>
        </w:rPr>
        <w:t xml:space="preserve"> 17. Aflage,  Köln, 1991, str. 966. </w:t>
      </w:r>
    </w:p>
  </w:footnote>
  <w:footnote w:id="20">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 J. Habscheid,  „Das Versämnisverfahren nach deutschem Zivilprozessrecht,“ </w:t>
      </w:r>
      <w:r w:rsidRPr="00095944">
        <w:rPr>
          <w:rFonts w:ascii="Adobe Garamond Pro" w:hAnsi="Adobe Garamond Pro"/>
          <w:i/>
          <w:sz w:val="18"/>
          <w:szCs w:val="18"/>
          <w:lang w:val="bs-Latn-BA"/>
        </w:rPr>
        <w:t>XI. Internationaler Kongres für</w:t>
      </w:r>
      <w:r w:rsidRPr="00095944">
        <w:rPr>
          <w:rFonts w:ascii="Adobe Garamond Pro" w:hAnsi="Adobe Garamond Pro"/>
          <w:sz w:val="18"/>
          <w:szCs w:val="18"/>
          <w:lang w:val="bs-Latn-BA"/>
        </w:rPr>
        <w:t xml:space="preserve"> </w:t>
      </w:r>
      <w:r w:rsidRPr="00095944">
        <w:rPr>
          <w:rFonts w:ascii="Adobe Garamond Pro" w:hAnsi="Adobe Garamond Pro"/>
          <w:i/>
          <w:sz w:val="18"/>
          <w:szCs w:val="18"/>
          <w:lang w:val="bs-Latn-BA"/>
        </w:rPr>
        <w:t xml:space="preserve">Rechtsvergleichung, </w:t>
      </w:r>
      <w:r w:rsidRPr="00095944">
        <w:rPr>
          <w:rFonts w:ascii="Adobe Garamond Pro" w:hAnsi="Adobe Garamond Pro"/>
          <w:sz w:val="18"/>
          <w:szCs w:val="18"/>
          <w:lang w:val="bs-Latn-BA"/>
        </w:rPr>
        <w:t>Caracas, 1982, str. 59.</w:t>
      </w:r>
    </w:p>
  </w:footnote>
  <w:footnote w:id="21">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Vidi DZPO § 331/1-2;   Usp. R. Zöller,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967. Presumpcija priznanja činjenica iz tužbe se ne odnosi na priznanje nadležnosti suda. Vidi: ZPO § 331/1, alinea 3-4)</w:t>
      </w:r>
    </w:p>
  </w:footnote>
  <w:footnote w:id="22">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 J. Habscheid,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60.</w:t>
      </w:r>
    </w:p>
  </w:footnote>
  <w:footnote w:id="23">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DZPO § 333. u  vezi sa §§ 330. i 331.</w:t>
      </w:r>
    </w:p>
  </w:footnote>
  <w:footnote w:id="2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DZPO § 334. Više o ovoj presudi vidi: R. Zöller,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983.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Protiv stranke, koja je podnijela prigovor protiv „prave“ presude zbog propuštanja /izostanka, pa je i sama izostala sa ročišta za raspravljanje o tome prigovoru, na prijedlog prisutne stranke donosi se „druga presuda zbog izostanka.“  Usp. S. Grubbs ,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251.</w:t>
      </w:r>
    </w:p>
  </w:footnote>
  <w:footnote w:id="25">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K. Schellhammer</w:t>
      </w:r>
      <w:r w:rsidRPr="00095944">
        <w:rPr>
          <w:rFonts w:ascii="Adobe Garamond Pro" w:hAnsi="Adobe Garamond Pro"/>
          <w:i/>
          <w:sz w:val="18"/>
          <w:szCs w:val="18"/>
          <w:lang w:val="bs-Latn-BA"/>
        </w:rPr>
        <w:t xml:space="preserve">, Zivilprozess, </w:t>
      </w:r>
      <w:r w:rsidRPr="00095944">
        <w:rPr>
          <w:rFonts w:ascii="Adobe Garamond Pro" w:hAnsi="Adobe Garamond Pro"/>
          <w:sz w:val="18"/>
          <w:szCs w:val="18"/>
          <w:lang w:val="bs-Latn-BA"/>
        </w:rPr>
        <w:t>Heilderberg, 1988, str. 688</w:t>
      </w:r>
      <w:r w:rsidRPr="00095944">
        <w:rPr>
          <w:rFonts w:ascii="Adobe Garamond Pro" w:hAnsi="Adobe Garamond Pro"/>
          <w:i/>
          <w:sz w:val="18"/>
          <w:szCs w:val="18"/>
          <w:lang w:val="bs-Latn-BA"/>
        </w:rPr>
        <w:t>.</w:t>
      </w:r>
    </w:p>
  </w:footnote>
  <w:footnote w:id="26">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Vidi: S. Grubbs ,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251.</w:t>
      </w:r>
      <w:r w:rsidRPr="00095944">
        <w:rPr>
          <w:rFonts w:ascii="Adobe Garamond Pro" w:hAnsi="Adobe Garamond Pro"/>
          <w:i/>
          <w:sz w:val="18"/>
          <w:szCs w:val="18"/>
          <w:lang w:val="bs-Latn-BA"/>
        </w:rPr>
        <w:tab/>
      </w:r>
    </w:p>
  </w:footnote>
  <w:footnote w:id="27">
    <w:p w:rsidR="00C10CE3" w:rsidRPr="00095944" w:rsidRDefault="00C10CE3" w:rsidP="00C10CE3">
      <w:pPr>
        <w:pStyle w:val="FootnoteText"/>
        <w:jc w:val="both"/>
        <w:rPr>
          <w:rFonts w:ascii="Adobe Garamond Pro" w:hAnsi="Adobe Garamond Pro"/>
          <w:i/>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Detaljno o drugoj presudi zbog izostanka 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C. Hoyer,</w:t>
      </w:r>
      <w:r w:rsidRPr="00095944">
        <w:rPr>
          <w:rFonts w:ascii="Adobe Garamond Pro" w:hAnsi="Adobe Garamond Pro"/>
          <w:i/>
          <w:sz w:val="18"/>
          <w:szCs w:val="18"/>
          <w:lang w:val="bs-Latn-BA"/>
        </w:rPr>
        <w:t xml:space="preserve"> Das technich zweite Versämnisurteil, </w:t>
      </w:r>
      <w:r w:rsidRPr="00095944">
        <w:rPr>
          <w:rFonts w:ascii="Adobe Garamond Pro" w:hAnsi="Adobe Garamond Pro"/>
          <w:sz w:val="18"/>
          <w:szCs w:val="18"/>
          <w:lang w:val="bs-Latn-BA"/>
        </w:rPr>
        <w:t>Frankfurt</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am Main-Bern,1980, str. 66 - 67.</w:t>
      </w:r>
      <w:r w:rsidRPr="00095944">
        <w:rPr>
          <w:rFonts w:ascii="Adobe Garamond Pro" w:hAnsi="Adobe Garamond Pro"/>
          <w:i/>
          <w:sz w:val="18"/>
          <w:szCs w:val="18"/>
          <w:lang w:val="bs-Latn-BA"/>
        </w:rPr>
        <w:t xml:space="preserve"> </w:t>
      </w:r>
    </w:p>
  </w:footnote>
  <w:footnote w:id="28">
    <w:p w:rsidR="00C10CE3" w:rsidRPr="00095944" w:rsidRDefault="00C10CE3" w:rsidP="00C10CE3">
      <w:pPr>
        <w:pStyle w:val="FootnoteText"/>
        <w:rPr>
          <w:rFonts w:ascii="Adobe Garamond Pro" w:hAnsi="Adobe Garamond Pro"/>
          <w:i/>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Vidi:  W. J. Habscheid,</w:t>
      </w:r>
      <w:r w:rsidRPr="00095944">
        <w:rPr>
          <w:rFonts w:ascii="Adobe Garamond Pro" w:hAnsi="Adobe Garamond Pro"/>
          <w:i/>
          <w:sz w:val="18"/>
          <w:szCs w:val="18"/>
          <w:lang w:val="bs-Latn-BA"/>
        </w:rPr>
        <w:t xml:space="preserve"> op. cit.,</w:t>
      </w:r>
      <w:r w:rsidRPr="00095944">
        <w:rPr>
          <w:rFonts w:ascii="Adobe Garamond Pro" w:hAnsi="Adobe Garamond Pro"/>
          <w:sz w:val="18"/>
          <w:szCs w:val="18"/>
          <w:lang w:val="bs-Latn-BA"/>
        </w:rPr>
        <w:t xml:space="preserve"> str. 65. </w:t>
      </w:r>
      <w:r w:rsidRPr="00095944">
        <w:rPr>
          <w:rFonts w:ascii="Adobe Garamond Pro" w:hAnsi="Adobe Garamond Pro"/>
          <w:i/>
          <w:sz w:val="18"/>
          <w:szCs w:val="18"/>
          <w:lang w:val="bs-Latn-BA"/>
        </w:rPr>
        <w:t xml:space="preserve"> </w:t>
      </w:r>
    </w:p>
  </w:footnote>
  <w:footnote w:id="2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t>
      </w:r>
      <w:r w:rsidRPr="00095944">
        <w:rPr>
          <w:rFonts w:ascii="Adobe Garamond Pro" w:hAnsi="Adobe Garamond Pro"/>
          <w:i/>
          <w:sz w:val="18"/>
          <w:szCs w:val="18"/>
          <w:lang w:val="bs-Latn-BA"/>
        </w:rPr>
        <w:t>Jurisdiktionsnorm</w:t>
      </w:r>
      <w:r w:rsidRPr="00095944">
        <w:rPr>
          <w:rFonts w:ascii="Adobe Garamond Pro" w:hAnsi="Adobe Garamond Pro"/>
          <w:sz w:val="18"/>
          <w:szCs w:val="18"/>
          <w:lang w:val="bs-Latn-BA"/>
        </w:rPr>
        <w:t xml:space="preserve"> je propis kojim je uređena nadležnost sudova u austrijskom pravu, a usvojen je 1895. godine. Sa izvjesnim izmjenama i dopunama i danas je u primjeni. U parničnom postupku nadležnost  prvostepenih lokalnih sudova (</w:t>
      </w:r>
      <w:r w:rsidRPr="00095944">
        <w:rPr>
          <w:rFonts w:ascii="Adobe Garamond Pro" w:hAnsi="Adobe Garamond Pro"/>
          <w:i/>
          <w:sz w:val="18"/>
          <w:szCs w:val="18"/>
          <w:lang w:val="bs-Latn-BA"/>
        </w:rPr>
        <w:t>Bezirksgericht)</w:t>
      </w:r>
      <w:r w:rsidRPr="00095944">
        <w:rPr>
          <w:rFonts w:ascii="Adobe Garamond Pro" w:hAnsi="Adobe Garamond Pro"/>
          <w:sz w:val="18"/>
          <w:szCs w:val="18"/>
          <w:lang w:val="bs-Latn-BA"/>
        </w:rPr>
        <w:t xml:space="preserve"> zavisi od vrijednosti spora, pa oni sude sporove do 10.000 EUR, a preko toga iznosa sude regionalni sudovi (</w:t>
      </w:r>
      <w:r w:rsidRPr="00095944">
        <w:rPr>
          <w:rFonts w:ascii="Adobe Garamond Pro" w:hAnsi="Adobe Garamond Pro"/>
          <w:i/>
          <w:sz w:val="18"/>
          <w:szCs w:val="18"/>
          <w:lang w:val="bs-Latn-BA"/>
        </w:rPr>
        <w:t>Landesgerichte</w:t>
      </w:r>
      <w:r w:rsidRPr="00095944">
        <w:rPr>
          <w:rFonts w:ascii="Adobe Garamond Pro" w:hAnsi="Adobe Garamond Pro"/>
          <w:sz w:val="18"/>
          <w:szCs w:val="18"/>
          <w:lang w:val="bs-Latn-BA"/>
        </w:rPr>
        <w:t xml:space="preserve"> ) koji su istovremeno i drugostepeni sudovi za lokalne sudove. U tome smislu: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57.  </w:t>
      </w:r>
    </w:p>
  </w:footnote>
  <w:footnote w:id="30">
    <w:p w:rsidR="00C10CE3" w:rsidRPr="00095944" w:rsidRDefault="00C10CE3" w:rsidP="00C10CE3">
      <w:pPr>
        <w:pStyle w:val="FootnoteText"/>
        <w:jc w:val="both"/>
        <w:rPr>
          <w:rFonts w:ascii="Adobe Garamond Pro" w:hAnsi="Adobe Garamond Pro"/>
          <w:i/>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Vidi: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57; Usp. C. Campbell, </w:t>
      </w:r>
      <w:r w:rsidRPr="00095944">
        <w:rPr>
          <w:rFonts w:ascii="Adobe Garamond Pro" w:hAnsi="Adobe Garamond Pro"/>
          <w:i/>
          <w:sz w:val="18"/>
          <w:szCs w:val="18"/>
          <w:lang w:val="bs-Latn-BA"/>
        </w:rPr>
        <w:t xml:space="preserve">International Civil Procedure, </w:t>
      </w:r>
      <w:r w:rsidRPr="00095944">
        <w:rPr>
          <w:rFonts w:ascii="Adobe Garamond Pro" w:hAnsi="Adobe Garamond Pro"/>
          <w:sz w:val="18"/>
          <w:szCs w:val="18"/>
          <w:lang w:val="bs-Latn-BA"/>
        </w:rPr>
        <w:t>Volume I, Yorkhill Law Publishing, 2007, str. 23</w:t>
      </w:r>
      <w:r w:rsidRPr="00095944">
        <w:rPr>
          <w:rFonts w:ascii="Adobe Garamond Pro" w:hAnsi="Adobe Garamond Pro"/>
          <w:i/>
          <w:sz w:val="18"/>
          <w:szCs w:val="18"/>
          <w:lang w:val="bs-Latn-BA"/>
        </w:rPr>
        <w:t xml:space="preserve">.; </w:t>
      </w:r>
    </w:p>
    <w:p w:rsidR="00C10CE3" w:rsidRPr="00095944" w:rsidRDefault="00C10CE3" w:rsidP="00C10CE3">
      <w:pPr>
        <w:pStyle w:val="FootnoteText"/>
        <w:rPr>
          <w:rFonts w:ascii="Adobe Garamond Pro" w:hAnsi="Adobe Garamond Pro"/>
          <w:sz w:val="18"/>
          <w:szCs w:val="18"/>
          <w:lang w:val="bs-Latn-BA"/>
        </w:rPr>
      </w:pPr>
      <w:r w:rsidRPr="00095944">
        <w:rPr>
          <w:rFonts w:ascii="Adobe Garamond Pro" w:hAnsi="Adobe Garamond Pro"/>
          <w:sz w:val="18"/>
          <w:szCs w:val="18"/>
          <w:lang w:val="bs-Latn-BA"/>
        </w:rPr>
        <w:t>Ovaj zakon će u daljem tekstu biti skraćeno citiran kao AZPO.</w:t>
      </w:r>
    </w:p>
    <w:p w:rsidR="00C10CE3" w:rsidRPr="00095944" w:rsidRDefault="00C10CE3" w:rsidP="00C10CE3">
      <w:pPr>
        <w:pStyle w:val="FootnoteText"/>
        <w:jc w:val="both"/>
        <w:rPr>
          <w:rFonts w:ascii="Adobe Garamond Pro" w:hAnsi="Adobe Garamond Pro"/>
          <w:i/>
          <w:sz w:val="18"/>
          <w:szCs w:val="18"/>
          <w:lang w:val="bs-Latn-BA"/>
        </w:rPr>
      </w:pPr>
      <w:r w:rsidRPr="00095944">
        <w:rPr>
          <w:rFonts w:ascii="Adobe Garamond Pro" w:hAnsi="Adobe Garamond Pro"/>
          <w:sz w:val="18"/>
          <w:szCs w:val="18"/>
          <w:lang w:val="bs-Latn-BA"/>
        </w:rPr>
        <w:t>Najveću ulogu u stvarnju austrijskog ZPO imao je, nesumnjivo, procesualista Franz Klein čiji pisani radovi o reformi građanskog postupka su najčuveniji radovi austrijske pravne misli. Više vidi: P. Obermammer,</w:t>
      </w:r>
      <w:r w:rsidRPr="00095944">
        <w:rPr>
          <w:rFonts w:ascii="Adobe Garamond Pro" w:hAnsi="Adobe Garamond Pro"/>
          <w:i/>
          <w:sz w:val="18"/>
          <w:szCs w:val="18"/>
          <w:lang w:val="bs-Latn-BA"/>
        </w:rPr>
        <w:t xml:space="preserve">  T. </w:t>
      </w:r>
      <w:r w:rsidRPr="00095944">
        <w:rPr>
          <w:rFonts w:ascii="Adobe Garamond Pro" w:hAnsi="Adobe Garamond Pro"/>
          <w:sz w:val="18"/>
          <w:szCs w:val="18"/>
          <w:lang w:val="bs-Latn-BA"/>
        </w:rPr>
        <w:t>Domej,</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Delay in Austrian Civil Procedure and Legislators Response,“ </w:t>
      </w:r>
      <w:r w:rsidRPr="00095944">
        <w:rPr>
          <w:rFonts w:ascii="Adobe Garamond Pro" w:hAnsi="Adobe Garamond Pro"/>
          <w:i/>
          <w:sz w:val="18"/>
          <w:szCs w:val="18"/>
          <w:lang w:val="bs-Latn-BA"/>
        </w:rPr>
        <w:t xml:space="preserve">Within Reasonable Time: the History of Due and Undue Delay in Civil Litigation.“  </w:t>
      </w:r>
      <w:r w:rsidRPr="00095944">
        <w:rPr>
          <w:rFonts w:ascii="Adobe Garamond Pro" w:hAnsi="Adobe Garamond Pro"/>
          <w:sz w:val="18"/>
          <w:szCs w:val="18"/>
          <w:lang w:val="bs-Latn-BA"/>
        </w:rPr>
        <w:t>C.H.van Rhee</w:t>
      </w:r>
      <w:r w:rsidRPr="00095944">
        <w:rPr>
          <w:rFonts w:ascii="Adobe Garamond Pro" w:hAnsi="Adobe Garamond Pro"/>
          <w:i/>
          <w:sz w:val="18"/>
          <w:szCs w:val="18"/>
          <w:lang w:val="bs-Latn-BA"/>
        </w:rPr>
        <w:t xml:space="preserve">, Berlin, </w:t>
      </w:r>
      <w:r w:rsidRPr="00095944">
        <w:rPr>
          <w:rFonts w:ascii="Adobe Garamond Pro" w:hAnsi="Adobe Garamond Pro"/>
          <w:sz w:val="18"/>
          <w:szCs w:val="18"/>
          <w:lang w:val="bs-Latn-BA"/>
        </w:rPr>
        <w:t>2010, str. 255.</w:t>
      </w:r>
    </w:p>
  </w:footnote>
  <w:footnote w:id="31">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Tako: C. Campbell,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32. Usp. H. Rechberger, D.  Simotta,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301.</w:t>
      </w:r>
    </w:p>
  </w:footnote>
  <w:footnote w:id="3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AZPO § 396/1; Činjenični navodi stranke koja nije u propuštanju uzimaju se istinitim iz razloga što nisu osporeni od protivne stranke. Vidi: M. Cappelletti,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129.</w:t>
      </w:r>
    </w:p>
  </w:footnote>
  <w:footnote w:id="3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O prijedlogu tužitelja za donošenje presude kao procesnoj pretpostavci detaljnije vidi: M. Cappelletti,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129.</w:t>
      </w:r>
    </w:p>
  </w:footnote>
  <w:footnote w:id="3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AZPO § 398/2; Proširenje i preinaka tužbenog zahtjeva nisu dopušteni. Dopuštena je samo ispravka postojećeg zahtjeva. Usp. R. Holzhammer,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282.  </w:t>
      </w:r>
    </w:p>
  </w:footnote>
  <w:footnote w:id="35">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 Rechberger, D.  Simotta,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301.</w:t>
      </w:r>
    </w:p>
  </w:footnote>
  <w:footnote w:id="36">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AZPO § 548 - Europäisches Bagatellverfahren</w:t>
      </w:r>
    </w:p>
  </w:footnote>
  <w:footnote w:id="37">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AZPO § 397-a/1; AZPO § 397-a/2; Usp.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65;  W. Rehberger,</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Probleme bei der Bekämpfung des Versäumungsurteile nach § 396. AZPO,</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objavljeni u „</w:t>
      </w:r>
      <w:r w:rsidRPr="00095944">
        <w:rPr>
          <w:rFonts w:ascii="Adobe Garamond Pro" w:hAnsi="Adobe Garamond Pro"/>
          <w:i/>
          <w:sz w:val="18"/>
          <w:szCs w:val="18"/>
          <w:lang w:val="bs-Latn-BA"/>
        </w:rPr>
        <w:t>J.G</w:t>
      </w:r>
      <w:r w:rsidRPr="00095944">
        <w:rPr>
          <w:rFonts w:ascii="Adobe Garamond Pro" w:hAnsi="Adobe Garamond Pro"/>
          <w:sz w:val="18"/>
          <w:szCs w:val="18"/>
          <w:lang w:val="bs-Latn-BA"/>
        </w:rPr>
        <w:t xml:space="preserve">. 103, </w:t>
      </w:r>
      <w:r w:rsidRPr="00095944">
        <w:rPr>
          <w:rFonts w:ascii="Adobe Garamond Pro" w:hAnsi="Adobe Garamond Pro"/>
          <w:i/>
          <w:sz w:val="18"/>
          <w:szCs w:val="18"/>
          <w:lang w:val="bs-Latn-BA"/>
        </w:rPr>
        <w:t xml:space="preserve">Helb“ </w:t>
      </w:r>
      <w:r w:rsidRPr="00095944">
        <w:rPr>
          <w:rFonts w:ascii="Adobe Garamond Pro" w:hAnsi="Adobe Garamond Pro"/>
          <w:sz w:val="18"/>
          <w:szCs w:val="18"/>
          <w:lang w:val="bs-Latn-BA"/>
        </w:rPr>
        <w:t>7/8, April 1981, str.179.</w:t>
      </w:r>
    </w:p>
  </w:footnote>
  <w:footnote w:id="38">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O postupku u povodu prigovora detaljnije vidi: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65</w:t>
      </w:r>
    </w:p>
  </w:footnote>
  <w:footnote w:id="3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Detaljnije o pretpostavkama za ovu presudu vidi: R. Holzhammer,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279.</w:t>
      </w:r>
    </w:p>
  </w:footnote>
  <w:footnote w:id="40">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i W. Rehberger, D.  Simotta,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303.</w:t>
      </w:r>
    </w:p>
  </w:footnote>
  <w:footnote w:id="41">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AZPO § 398/2</w:t>
      </w:r>
    </w:p>
  </w:footnote>
  <w:footnote w:id="42">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AZPO § 399</w:t>
      </w:r>
    </w:p>
  </w:footnote>
  <w:footnote w:id="43">
    <w:p w:rsidR="00C10CE3" w:rsidRPr="00095944" w:rsidRDefault="00C10CE3" w:rsidP="00C10CE3">
      <w:pPr>
        <w:pStyle w:val="FootnoteText"/>
        <w:rPr>
          <w:rFonts w:ascii="Adobe Garamond Pro" w:hAnsi="Adobe Garamond Pro"/>
          <w:i/>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Sperl,</w:t>
      </w:r>
      <w:r w:rsidRPr="00095944">
        <w:rPr>
          <w:rFonts w:ascii="Adobe Garamond Pro" w:hAnsi="Adobe Garamond Pro"/>
          <w:i/>
          <w:sz w:val="18"/>
          <w:szCs w:val="18"/>
          <w:lang w:val="bs-Latn-BA"/>
        </w:rPr>
        <w:t xml:space="preserve"> Lehrbuch der burgelichen  Rechtspflege, </w:t>
      </w:r>
      <w:r w:rsidRPr="00095944">
        <w:rPr>
          <w:rFonts w:ascii="Adobe Garamond Pro" w:hAnsi="Adobe Garamond Pro"/>
          <w:sz w:val="18"/>
          <w:szCs w:val="18"/>
          <w:lang w:val="bs-Latn-BA"/>
        </w:rPr>
        <w:t>Wien, 1930, str. 494.</w:t>
      </w:r>
    </w:p>
  </w:footnote>
  <w:footnote w:id="4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Više o razlici kontradiktorne i kontumacione presude vidi: R. Holzhammer,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281.</w:t>
      </w:r>
    </w:p>
  </w:footnote>
  <w:footnote w:id="45">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 Rechberger,  D. Simotta,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301.</w:t>
      </w:r>
    </w:p>
  </w:footnote>
  <w:footnote w:id="46">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Tim zakonom je zamijenjeno dotadašnjih 26 kantonalnih Zakona o parničnom postupku. Švicarski Zakon o parničnom postupku je objavljen na sva tri jezika u službenoj upotrebi – njemački, francuski i talijanski, a preveden i na engleski jezik za potrebe drugih govornih područja. Budući da je u raspoloživoj literaturi  njegov tekst na njemačkom jeziku sa nazivom </w:t>
      </w:r>
      <w:r w:rsidRPr="00095944">
        <w:rPr>
          <w:rFonts w:ascii="Adobe Garamond Pro" w:hAnsi="Adobe Garamond Pro"/>
          <w:i/>
          <w:sz w:val="18"/>
          <w:szCs w:val="18"/>
          <w:lang w:val="bs-Latn-BA"/>
        </w:rPr>
        <w:t>Zivilprozessordnung,</w:t>
      </w:r>
      <w:r w:rsidRPr="00095944">
        <w:rPr>
          <w:rFonts w:ascii="Adobe Garamond Pro" w:hAnsi="Adobe Garamond Pro"/>
          <w:sz w:val="18"/>
          <w:szCs w:val="18"/>
          <w:lang w:val="bs-Latn-BA"/>
        </w:rPr>
        <w:t xml:space="preserve"> to će se u nastavku izlaganja ovaj zakon označavati skraćeno kao SwZPO (Switzerland ZPO). Više o tome 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D. Hofmann, „New Landscape of Civil Procedure in Svitzerlands of 1. January 2011, </w:t>
      </w:r>
      <w:r w:rsidRPr="00095944">
        <w:rPr>
          <w:rFonts w:ascii="Adobe Garamond Pro" w:hAnsi="Adobe Garamond Pro"/>
          <w:i/>
          <w:sz w:val="18"/>
          <w:szCs w:val="18"/>
          <w:lang w:val="bs-Latn-BA"/>
        </w:rPr>
        <w:t xml:space="preserve">„Newsletter, </w:t>
      </w:r>
      <w:r w:rsidRPr="00095944">
        <w:rPr>
          <w:rFonts w:ascii="Adobe Garamond Pro" w:hAnsi="Adobe Garamond Pro"/>
          <w:sz w:val="18"/>
          <w:szCs w:val="18"/>
          <w:lang w:val="bs-Latn-BA"/>
        </w:rPr>
        <w:t>No. 95., 2010. str. 1.</w:t>
      </w:r>
    </w:p>
  </w:footnote>
  <w:footnote w:id="47">
    <w:p w:rsidR="00C10CE3" w:rsidRPr="00095944" w:rsidRDefault="00C10CE3" w:rsidP="00C10CE3">
      <w:pPr>
        <w:pStyle w:val="FootnoteText"/>
        <w:jc w:val="both"/>
        <w:rPr>
          <w:rFonts w:ascii="Adobe Garamond Pro" w:hAnsi="Adobe Garamond Pro"/>
          <w:i/>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Art. 59. Više vidi: D. Campbell, C. Campbell,</w:t>
      </w:r>
      <w:r w:rsidRPr="00095944">
        <w:rPr>
          <w:rFonts w:ascii="Adobe Garamond Pro" w:hAnsi="Adobe Garamond Pro"/>
          <w:i/>
          <w:sz w:val="18"/>
          <w:szCs w:val="18"/>
          <w:lang w:val="bs-Latn-BA"/>
        </w:rPr>
        <w:t xml:space="preserve"> International Civil Procedure, </w:t>
      </w:r>
      <w:r w:rsidRPr="00095944">
        <w:rPr>
          <w:rFonts w:ascii="Adobe Garamond Pro" w:hAnsi="Adobe Garamond Pro"/>
          <w:sz w:val="18"/>
          <w:szCs w:val="18"/>
          <w:lang w:val="bs-Latn-BA"/>
        </w:rPr>
        <w:t>Second Edition</w:t>
      </w:r>
      <w:r w:rsidRPr="00095944">
        <w:rPr>
          <w:rFonts w:ascii="Adobe Garamond Pro" w:hAnsi="Adobe Garamond Pro"/>
          <w:i/>
          <w:sz w:val="18"/>
          <w:szCs w:val="18"/>
          <w:lang w:val="bs-Latn-BA"/>
        </w:rPr>
        <w:t xml:space="preserve">,Yorkhill Law Publishing, 2011., </w:t>
      </w:r>
      <w:r w:rsidRPr="00095944">
        <w:rPr>
          <w:rFonts w:ascii="Adobe Garamond Pro" w:hAnsi="Adobe Garamond Pro"/>
          <w:sz w:val="18"/>
          <w:szCs w:val="18"/>
          <w:lang w:val="bs-Latn-BA"/>
        </w:rPr>
        <w:t>str.14.</w:t>
      </w:r>
    </w:p>
  </w:footnote>
  <w:footnote w:id="48">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Vidi. U. Feller,</w:t>
      </w:r>
      <w:r w:rsidRPr="00095944">
        <w:rPr>
          <w:rFonts w:ascii="Adobe Garamond Pro" w:hAnsi="Adobe Garamond Pro"/>
          <w:i/>
          <w:sz w:val="18"/>
          <w:szCs w:val="18"/>
          <w:lang w:val="bs-Latn-BA"/>
        </w:rPr>
        <w:t xml:space="preserve"> Despure Resolution Handbook  2011/2012, </w:t>
      </w:r>
      <w:r w:rsidRPr="00095944">
        <w:rPr>
          <w:rFonts w:ascii="Adobe Garamond Pro" w:hAnsi="Adobe Garamond Pro"/>
          <w:sz w:val="18"/>
          <w:szCs w:val="18"/>
          <w:lang w:val="bs-Latn-BA"/>
        </w:rPr>
        <w:t>str. 3.;</w:t>
      </w:r>
    </w:p>
    <w:p w:rsidR="00C10CE3" w:rsidRPr="00095944" w:rsidRDefault="00C10CE3" w:rsidP="00C10CE3">
      <w:pPr>
        <w:pStyle w:val="FootnoteText"/>
        <w:jc w:val="both"/>
        <w:rPr>
          <w:rFonts w:ascii="Adobe Garamond Pro" w:hAnsi="Adobe Garamond Pro"/>
          <w:i/>
          <w:sz w:val="18"/>
          <w:szCs w:val="18"/>
          <w:lang w:val="bs-Latn-BA"/>
        </w:rPr>
      </w:pPr>
      <w:r w:rsidRPr="00095944">
        <w:rPr>
          <w:rFonts w:ascii="Adobe Garamond Pro" w:hAnsi="Adobe Garamond Pro"/>
          <w:sz w:val="18"/>
          <w:szCs w:val="18"/>
          <w:lang w:val="bs-Latn-BA"/>
        </w:rPr>
        <w:t xml:space="preserve"> Rok  za odogovor na tužbu, u praksi, sud određuje najčešće u trajanju od 20 dana.  D. </w:t>
      </w:r>
      <w:r w:rsidRPr="00095944">
        <w:rPr>
          <w:rFonts w:ascii="Adobe Garamond Pro" w:hAnsi="Adobe Garamond Pro"/>
          <w:i/>
          <w:sz w:val="18"/>
          <w:szCs w:val="18"/>
          <w:lang w:val="bs-Latn-BA"/>
        </w:rPr>
        <w:t xml:space="preserve">Campbell  C.  Campbell, op. cit., </w:t>
      </w:r>
      <w:r w:rsidRPr="00095944">
        <w:rPr>
          <w:rFonts w:ascii="Adobe Garamond Pro" w:hAnsi="Adobe Garamond Pro"/>
          <w:sz w:val="18"/>
          <w:szCs w:val="18"/>
          <w:lang w:val="bs-Latn-BA"/>
        </w:rPr>
        <w:t>str.14.</w:t>
      </w:r>
    </w:p>
  </w:footnote>
  <w:footnote w:id="49">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D. Campbell, /C. Campbell,  </w:t>
      </w:r>
      <w:r w:rsidRPr="00095944">
        <w:rPr>
          <w:rFonts w:ascii="Adobe Garamond Pro" w:hAnsi="Adobe Garamond Pro"/>
          <w:i/>
          <w:sz w:val="18"/>
          <w:szCs w:val="18"/>
          <w:lang w:val="bs-Latn-BA"/>
        </w:rPr>
        <w:t xml:space="preserve">op.cit. </w:t>
      </w:r>
      <w:r w:rsidRPr="00095944">
        <w:rPr>
          <w:rFonts w:ascii="Adobe Garamond Pro" w:hAnsi="Adobe Garamond Pro"/>
          <w:sz w:val="18"/>
          <w:szCs w:val="18"/>
          <w:lang w:val="bs-Latn-BA"/>
        </w:rPr>
        <w:t>str. 14.</w:t>
      </w:r>
    </w:p>
  </w:footnote>
  <w:footnote w:id="50">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Art. 223/2</w:t>
      </w:r>
    </w:p>
  </w:footnote>
  <w:footnote w:id="51">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u Art. 221. propisuje da uz tužbu, pored ostalog, trebaju biti dostavljeni raspoloživi dokumenti - isprave kao dokazi tvrdnji iz tužbe, pa u okviru svoga ovlaštenja i dužnosti da ocijeni dokaze, sud cijeni da li je „stvar zrela za presuđenje.“  </w:t>
      </w:r>
    </w:p>
  </w:footnote>
  <w:footnote w:id="5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Art. 234/2. U ovoj odredbi zakon se poziva na Art. 153, koji propisuje pravo suda da po vlastitoj inicijativi izvodi dokaze radi utvrđenja onih činjenica u čiju istinitost postoji ozbiljna sumnja, a one nisu bile osporene od protivnika stranke koja se na činjenice poziva. Kada stranka izostane, sud može cijeniti dokaze iz spisa, te donijeti presudu zbog izostanka.</w:t>
      </w:r>
    </w:p>
  </w:footnote>
  <w:footnote w:id="5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Wenger Plattner,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4. Najvažnija razlika između žalbe i prigovora je u tome što njihovo podnošenje zavisi od vrijednosti spora. U tome smislu prigovorom se uglavnom pobijaju odluke iz sporove manje vrijednosti i odluke koje se tiču izvršenja presuda, kao i procesne odluke koje se donose u toku postupka. </w:t>
      </w:r>
    </w:p>
  </w:footnote>
  <w:footnote w:id="54">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Art. 308/2.</w:t>
      </w:r>
    </w:p>
  </w:footnote>
  <w:footnote w:id="5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SwZPO Art. 319. Usp.Wenger Plattner,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4.</w:t>
      </w:r>
    </w:p>
  </w:footnote>
  <w:footnote w:id="56">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Detaljnije o tome 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R. Ginsbrug,</w:t>
      </w:r>
      <w:r w:rsidRPr="00095944">
        <w:rPr>
          <w:rFonts w:ascii="Adobe Garamond Pro" w:hAnsi="Adobe Garamond Pro"/>
          <w:i/>
          <w:sz w:val="18"/>
          <w:szCs w:val="18"/>
          <w:lang w:val="bs-Latn-BA"/>
        </w:rPr>
        <w:t xml:space="preserve"> Civil Procedure in Sweden, </w:t>
      </w:r>
      <w:r w:rsidRPr="00095944">
        <w:rPr>
          <w:rFonts w:ascii="Adobe Garamond Pro" w:hAnsi="Adobe Garamond Pro"/>
          <w:sz w:val="18"/>
          <w:szCs w:val="18"/>
          <w:lang w:val="bs-Latn-BA"/>
        </w:rPr>
        <w:t xml:space="preserve">The Hague, 1965, str. 37.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Ovaj zakon će u daljem tekstu biti skraćeno citiran kao RB. On normira temeljna pravila organizacije sudova, postupak u parničnim i krivičnim stvarima, postupak pred žalbenim  i vrhovnim  sudom i pravne lijekove. Osnovna načela postupka su: načelo usmenosti, neposrednosti, koncentracije postupka i javnosti suđenja. Tako 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706.</w:t>
      </w:r>
    </w:p>
  </w:footnote>
  <w:footnote w:id="57">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Vidi: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708.</w:t>
      </w:r>
    </w:p>
  </w:footnote>
  <w:footnote w:id="58">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O posebnostima građanskog postupka vidi: R. Ginsbrug</w:t>
      </w:r>
      <w:r w:rsidRPr="00095944">
        <w:rPr>
          <w:rFonts w:ascii="Adobe Garamond Pro" w:hAnsi="Adobe Garamond Pro"/>
          <w:i/>
          <w:sz w:val="18"/>
          <w:szCs w:val="18"/>
          <w:lang w:val="bs-Latn-BA"/>
        </w:rPr>
        <w:t xml:space="preserve">, Civil Procedure-Basic Features of the Swedish System, </w:t>
      </w:r>
      <w:r w:rsidRPr="00095944">
        <w:rPr>
          <w:rFonts w:ascii="Adobe Garamond Pro" w:hAnsi="Adobe Garamond Pro"/>
          <w:sz w:val="18"/>
          <w:szCs w:val="18"/>
          <w:lang w:val="bs-Latn-BA"/>
        </w:rPr>
        <w:t xml:space="preserve">AJCL, 1965., str. 341. </w:t>
      </w:r>
    </w:p>
  </w:footnote>
  <w:footnote w:id="5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RB,CH 44. § 7.a. </w:t>
      </w:r>
    </w:p>
  </w:footnote>
  <w:footnote w:id="60">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str.718.</w:t>
      </w:r>
    </w:p>
  </w:footnote>
  <w:footnote w:id="61">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RB, CH44. §7.a/2. Tužbu ili odgovor na tužbu mogu sačiniti same stranke ili njihov punomoćnik. Švedski RB  nije propisao obavezno zastupanje stranaka po punomoćnicima ali, ipak, u složenijim parnicama rijetko je da u postupku učestvuju stranke bez punomoćnika - advokata.  S. Grubs,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707.</w:t>
      </w:r>
    </w:p>
  </w:footnote>
  <w:footnote w:id="62">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RB, CH 44. § 7.b/3.</w:t>
      </w:r>
    </w:p>
  </w:footnote>
  <w:footnote w:id="6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Usp.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718..</w:t>
      </w:r>
    </w:p>
  </w:footnote>
  <w:footnote w:id="64">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RB, CH 44. §10.</w:t>
      </w:r>
    </w:p>
  </w:footnote>
  <w:footnote w:id="6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J. A. Jolowicz,</w:t>
      </w:r>
      <w:r w:rsidRPr="00095944">
        <w:rPr>
          <w:rFonts w:ascii="Adobe Garamond Pro" w:hAnsi="Adobe Garamond Pro"/>
          <w:i/>
          <w:sz w:val="18"/>
          <w:szCs w:val="18"/>
          <w:lang w:val="bs-Latn-BA"/>
        </w:rPr>
        <w:t xml:space="preserve"> On Civil Procedure</w:t>
      </w:r>
      <w:r w:rsidRPr="00095944">
        <w:rPr>
          <w:rFonts w:ascii="Adobe Garamond Pro" w:hAnsi="Adobe Garamond Pro"/>
          <w:sz w:val="18"/>
          <w:szCs w:val="18"/>
          <w:lang w:val="bs-Latn-BA"/>
        </w:rPr>
        <w:t xml:space="preserve">, Cambridge, 2000, str. IX. </w:t>
      </w:r>
      <w:r w:rsidRPr="00095944">
        <w:rPr>
          <w:rFonts w:ascii="Adobe Garamond Pro" w:hAnsi="Adobe Garamond Pro"/>
          <w:i/>
          <w:sz w:val="18"/>
          <w:szCs w:val="18"/>
          <w:lang w:val="bs-Latn-BA"/>
        </w:rPr>
        <w:t xml:space="preserve"> Civil Procedure Rules</w:t>
      </w:r>
      <w:r w:rsidRPr="00095944">
        <w:rPr>
          <w:rFonts w:ascii="Adobe Garamond Pro" w:hAnsi="Adobe Garamond Pro"/>
          <w:sz w:val="18"/>
          <w:szCs w:val="18"/>
          <w:lang w:val="bs-Latn-BA"/>
        </w:rPr>
        <w:t xml:space="preserve"> će u daljem tekstu biti skraćeno citirana kao CPR.</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Engleska (zajedno sa Welsom i Škotskom) pripada Ujedinjenom Kraljevstvu Velike Britanije i Sjeverne Irske. Pravila se primjenjuju na području Engleske i Welsa, i to u građanskim sudskim postupcima pred Okružnim sudom, Visokim sudom i Apelacionim sudom. U tome smislu: O'Hare &amp; Brownw,</w:t>
      </w:r>
      <w:r w:rsidRPr="00095944">
        <w:rPr>
          <w:rFonts w:ascii="Adobe Garamond Pro" w:hAnsi="Adobe Garamond Pro"/>
          <w:i/>
          <w:sz w:val="18"/>
          <w:szCs w:val="18"/>
          <w:lang w:val="bs-Latn-BA"/>
        </w:rPr>
        <w:t xml:space="preserve"> op. cit.,</w:t>
      </w:r>
      <w:r w:rsidRPr="00095944">
        <w:rPr>
          <w:rFonts w:ascii="Adobe Garamond Pro" w:hAnsi="Adobe Garamond Pro"/>
          <w:sz w:val="18"/>
          <w:szCs w:val="18"/>
          <w:lang w:val="bs-Latn-BA"/>
        </w:rPr>
        <w:t xml:space="preserve"> str. 2.</w:t>
      </w:r>
    </w:p>
  </w:footnote>
  <w:footnote w:id="66">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Više o tome vidi: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str.180. </w:t>
      </w:r>
    </w:p>
    <w:p w:rsidR="00C10CE3" w:rsidRPr="00095944" w:rsidRDefault="00C10CE3" w:rsidP="00C10CE3">
      <w:pPr>
        <w:pStyle w:val="FootnoteText"/>
        <w:rPr>
          <w:rFonts w:ascii="Adobe Garamond Pro" w:hAnsi="Adobe Garamond Pro"/>
          <w:sz w:val="18"/>
          <w:szCs w:val="18"/>
          <w:lang w:val="bs-Latn-BA"/>
        </w:rPr>
      </w:pPr>
      <w:r w:rsidRPr="00095944">
        <w:rPr>
          <w:rFonts w:ascii="Adobe Garamond Pro" w:hAnsi="Adobe Garamond Pro"/>
          <w:sz w:val="18"/>
          <w:szCs w:val="18"/>
          <w:lang w:val="bs-Latn-BA"/>
        </w:rPr>
        <w:t xml:space="preserve">U engleskom pravu, teoretski, sudovi interpretiraju pravo, a faktički sudske odluke stvaraju novo pravo sve dok ono nije u suprotnosti sa postojećim zakonima. Niži sudovi su vezani odlukama viših sudova.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str. 180.</w:t>
      </w:r>
    </w:p>
  </w:footnote>
  <w:footnote w:id="67">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CPR -12.1; Usp. N. Andrews,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92.</w:t>
      </w:r>
    </w:p>
  </w:footnote>
  <w:footnote w:id="68">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182.</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Pravila postupka nameću obavezu tužitelju da, prije pokretanja postupka kod suda, poduzme radnje kontakta sa protivnikom, obavijesti ga o detaljima spora te da pokušaju mirno riješiti spor.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str. 181.</w:t>
      </w:r>
    </w:p>
  </w:footnote>
  <w:footnote w:id="6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Za najveći broj parničnih radnji, pa i za odgovor na tužbu, propisan je niz formulara, koje stranka popunjava posebnim sadržajem zavisno od vrste podneska. Više  otome vidi: C. Campbell,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157.</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Ta izjava je formular broj N-210, određ</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nog je sadržaja propisanog pravilom R. 8. 3. Podijeljen je na nekoliko dijelova sa ponuđenim odgovorima bitnim za dalji tok postupka kao što su: zahtjev se osporava; zahtjev se ne osporava;osporava se nadležnost suda ili ne osporava; postoje prigovori na (dosadašnji) postupak; ponuđeni (pisani) dokazi tuženika; ime tuženika. Odštampane kolone u formularu tužitelj treba samo da obilježi znakom jer u njima se već nalazi ispisan pomenuti sadržaj. Vidi: O'Hare &amp;  Browne,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str.151. </w:t>
      </w:r>
    </w:p>
  </w:footnote>
  <w:footnote w:id="70">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str. 182.</w:t>
      </w:r>
    </w:p>
  </w:footnote>
  <w:footnote w:id="71">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O'Hare &amp; Browne,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228</w:t>
      </w:r>
      <w:r w:rsidRPr="00095944">
        <w:rPr>
          <w:rFonts w:ascii="Adobe Garamond Pro" w:hAnsi="Adobe Garamond Pro"/>
          <w:i/>
          <w:sz w:val="18"/>
          <w:szCs w:val="18"/>
          <w:lang w:val="bs-Latn-BA"/>
        </w:rPr>
        <w:t>.</w:t>
      </w:r>
      <w:r w:rsidRPr="00095944">
        <w:rPr>
          <w:rFonts w:ascii="Adobe Garamond Pro" w:hAnsi="Adobe Garamond Pro"/>
          <w:sz w:val="18"/>
          <w:szCs w:val="18"/>
          <w:lang w:val="bs-Latn-BA"/>
        </w:rPr>
        <w:t xml:space="preserve"> U praksi najčešće tuženik propusti dostaviti izjavu o namjeri odbrane i o prijemu tužbe, a oni koji sudu dostave tu izjavu, odnosno potvrdu, kasnije dostave i odgovor na tužbu. Tako, ustvari, najveći broj presuda zbog propuštanja su one koje su posljedica nedostavljanja izjave o namjeri odbrane. Presude zbog propuštanja odgovora na tužbu su znato rjeđe, u usporedbi sa prednjom.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xml:space="preserve">, str. 228. </w:t>
      </w:r>
    </w:p>
  </w:footnote>
  <w:footnote w:id="72">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U tome smislu:</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C. Osborne,</w:t>
      </w:r>
      <w:r w:rsidRPr="00095944">
        <w:rPr>
          <w:rFonts w:ascii="Adobe Garamond Pro" w:hAnsi="Adobe Garamond Pro"/>
          <w:i/>
          <w:sz w:val="18"/>
          <w:szCs w:val="18"/>
          <w:lang w:val="bs-Latn-BA"/>
        </w:rPr>
        <w:t xml:space="preserve"> Civil Litigation, </w:t>
      </w:r>
      <w:r w:rsidRPr="00095944">
        <w:rPr>
          <w:rFonts w:ascii="Adobe Garamond Pro" w:hAnsi="Adobe Garamond Pro"/>
          <w:sz w:val="18"/>
          <w:szCs w:val="18"/>
          <w:lang w:val="bs-Latn-BA"/>
        </w:rPr>
        <w:t>Oxford, 2008, str. 361.</w:t>
      </w:r>
    </w:p>
  </w:footnote>
  <w:footnote w:id="73">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pravnim  rječnicima  engleskog  jezika „ </w:t>
      </w:r>
      <w:r w:rsidRPr="00095944">
        <w:rPr>
          <w:rFonts w:ascii="Adobe Garamond Pro" w:hAnsi="Adobe Garamond Pro"/>
          <w:i/>
          <w:sz w:val="18"/>
          <w:szCs w:val="18"/>
          <w:lang w:val="bs-Latn-BA"/>
        </w:rPr>
        <w:t>to set aside</w:t>
      </w:r>
      <w:r w:rsidRPr="00095944">
        <w:rPr>
          <w:rFonts w:ascii="Adobe Garamond Pro" w:hAnsi="Adobe Garamond Pro"/>
          <w:sz w:val="18"/>
          <w:szCs w:val="18"/>
          <w:lang w:val="bs-Latn-BA"/>
        </w:rPr>
        <w:t xml:space="preserve">“ se prevodi kao „poništiti,“„ukinuti“ ili „staviti izvan snage“ Vidi: </w:t>
      </w:r>
      <w:r w:rsidRPr="00095944">
        <w:rPr>
          <w:rFonts w:ascii="Adobe Garamond Pro" w:hAnsi="Adobe Garamond Pro"/>
          <w:i/>
          <w:sz w:val="18"/>
          <w:szCs w:val="18"/>
          <w:lang w:val="bs-Latn-BA"/>
        </w:rPr>
        <w:t>Dictionary of Law</w:t>
      </w:r>
      <w:r w:rsidRPr="00095944">
        <w:rPr>
          <w:rFonts w:ascii="Adobe Garamond Pro" w:hAnsi="Adobe Garamond Pro"/>
          <w:sz w:val="18"/>
          <w:szCs w:val="18"/>
          <w:lang w:val="bs-Latn-BA"/>
        </w:rPr>
        <w:t xml:space="preserve">,  B. Vukičević, Beograd, 2008, str. 311. Tako i D. Vićan,  </w:t>
      </w:r>
      <w:r w:rsidRPr="00095944">
        <w:rPr>
          <w:rFonts w:ascii="Adobe Garamond Pro" w:hAnsi="Adobe Garamond Pro"/>
          <w:i/>
          <w:sz w:val="18"/>
          <w:szCs w:val="18"/>
          <w:lang w:val="bs-Latn-BA"/>
        </w:rPr>
        <w:t>Engleski za pravnike</w:t>
      </w:r>
      <w:r w:rsidRPr="00095944">
        <w:rPr>
          <w:rFonts w:ascii="Adobe Garamond Pro" w:hAnsi="Adobe Garamond Pro"/>
          <w:sz w:val="18"/>
          <w:szCs w:val="18"/>
          <w:lang w:val="bs-Latn-BA"/>
        </w:rPr>
        <w:t xml:space="preserve">, Zagreb, 2008, str. 256. </w:t>
      </w:r>
    </w:p>
    <w:p w:rsidR="00C10CE3" w:rsidRPr="00095944" w:rsidRDefault="00C10CE3" w:rsidP="00C10CE3">
      <w:pPr>
        <w:pStyle w:val="FootnoteText"/>
        <w:jc w:val="both"/>
        <w:rPr>
          <w:rFonts w:ascii="Adobe Garamond Pro" w:hAnsi="Adobe Garamond Pro"/>
          <w:i/>
          <w:sz w:val="18"/>
          <w:szCs w:val="18"/>
          <w:lang w:val="bs-Latn-BA"/>
        </w:rPr>
      </w:pPr>
      <w:r w:rsidRPr="00095944">
        <w:rPr>
          <w:rFonts w:ascii="Adobe Garamond Pro" w:hAnsi="Adobe Garamond Pro"/>
          <w:sz w:val="18"/>
          <w:szCs w:val="18"/>
          <w:lang w:val="bs-Latn-BA"/>
        </w:rPr>
        <w:t>Engleski CPR, dio 13. “normira „Ukidanje ili preinačenje  presude zbog propuštanja,“ („</w:t>
      </w:r>
      <w:r w:rsidRPr="00095944">
        <w:rPr>
          <w:rFonts w:ascii="Adobe Garamond Pro" w:hAnsi="Adobe Garamond Pro"/>
          <w:i/>
          <w:sz w:val="18"/>
          <w:szCs w:val="18"/>
          <w:lang w:val="bs-Latn-BA"/>
        </w:rPr>
        <w:t>Setting aside or varying default judgment,</w:t>
      </w:r>
      <w:r w:rsidRPr="00095944">
        <w:rPr>
          <w:rFonts w:ascii="Adobe Garamond Pro" w:hAnsi="Adobe Garamond Pro"/>
          <w:sz w:val="18"/>
          <w:szCs w:val="18"/>
          <w:lang w:val="bs-Latn-BA"/>
        </w:rPr>
        <w:t>“ a §13.4. normira  „Prijedlog za ukidanje ili preinačenje presude – postupak“ („</w:t>
      </w:r>
      <w:r w:rsidRPr="00095944">
        <w:rPr>
          <w:rFonts w:ascii="Adobe Garamond Pro" w:hAnsi="Adobe Garamond Pro"/>
          <w:i/>
          <w:sz w:val="18"/>
          <w:szCs w:val="18"/>
          <w:lang w:val="bs-Latn-BA"/>
        </w:rPr>
        <w:t xml:space="preserve">Application to set aside or vary judgment – procedure.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Budući da CPR u pomenutom naslovu poglavlja o pobijanju presude zbog propuštanja navodi dva načina postupanja suda prema napadnutoj odluci, a jedan od njih je preinačenje presude (</w:t>
      </w:r>
      <w:r w:rsidRPr="00095944">
        <w:rPr>
          <w:rFonts w:ascii="Adobe Garamond Pro" w:hAnsi="Adobe Garamond Pro"/>
          <w:i/>
          <w:sz w:val="18"/>
          <w:szCs w:val="18"/>
          <w:lang w:val="bs-Latn-BA"/>
        </w:rPr>
        <w:t>varying</w:t>
      </w:r>
      <w:r w:rsidRPr="00095944">
        <w:rPr>
          <w:rFonts w:ascii="Adobe Garamond Pro" w:hAnsi="Adobe Garamond Pro"/>
          <w:sz w:val="18"/>
          <w:szCs w:val="18"/>
          <w:lang w:val="bs-Latn-BA"/>
        </w:rPr>
        <w:t>)</w:t>
      </w:r>
      <w:r w:rsidRPr="00095944">
        <w:rPr>
          <w:rFonts w:ascii="Adobe Garamond Pro" w:hAnsi="Adobe Garamond Pro"/>
          <w:i/>
          <w:sz w:val="18"/>
          <w:szCs w:val="18"/>
          <w:lang w:val="bs-Latn-BA"/>
        </w:rPr>
        <w:t>,</w:t>
      </w:r>
      <w:r w:rsidRPr="00095944">
        <w:rPr>
          <w:rFonts w:ascii="Adobe Garamond Pro" w:hAnsi="Adobe Garamond Pro"/>
          <w:sz w:val="18"/>
          <w:szCs w:val="18"/>
          <w:lang w:val="bs-Latn-BA"/>
        </w:rPr>
        <w:t>onda je za stavljanje van snage pobijane odluke najpravilnije koristiti prijevod „ukidanje,“ pa stoga i prijedlog kojim se napada presuda prevoditi kao prijedlog za ukidanje. Ovo tim više što se radi o sudskoj odluci, a za njih procesni zakoni vezuju mogućnost njihovog „ukidanja“ (ili preinačenja), a ne „poništenja“</w:t>
      </w:r>
    </w:p>
  </w:footnote>
  <w:footnote w:id="74">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CPR-13.4.</w:t>
      </w:r>
    </w:p>
  </w:footnote>
  <w:footnote w:id="7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daljem tekstu ovaj propis će biti skraćeno citiran kao FRCP, (uz prethodnu oznaku R, kao rednog broja pravila). FRCP je usvojio Kongres Sjedinjenih Američkih Država, a stupila su na snagu 16. 09. 1938.godine. Više puta su usvajani amandmani ovih pravila. Vidi: </w:t>
      </w:r>
      <w:r w:rsidRPr="00095944">
        <w:rPr>
          <w:rFonts w:ascii="Adobe Garamond Pro" w:hAnsi="Adobe Garamond Pro"/>
          <w:i/>
          <w:sz w:val="18"/>
          <w:szCs w:val="18"/>
          <w:lang w:val="bs-Latn-BA"/>
        </w:rPr>
        <w:t xml:space="preserve">West Encyclopedia of American Law- Civil Procedure, </w:t>
      </w:r>
      <w:r w:rsidRPr="00095944">
        <w:rPr>
          <w:rFonts w:ascii="Adobe Garamond Pro" w:hAnsi="Adobe Garamond Pro"/>
          <w:sz w:val="18"/>
          <w:szCs w:val="18"/>
          <w:lang w:val="bs-Latn-BA"/>
        </w:rPr>
        <w:t xml:space="preserve">USA, 1998, </w:t>
      </w:r>
      <w:r w:rsidRPr="00095944">
        <w:rPr>
          <w:rFonts w:ascii="Adobe Garamond Pro" w:hAnsi="Adobe Garamond Pro"/>
          <w:i/>
          <w:sz w:val="18"/>
          <w:szCs w:val="18"/>
          <w:lang w:val="bs-Latn-BA"/>
        </w:rPr>
        <w:t xml:space="preserve"> </w:t>
      </w:r>
    </w:p>
  </w:footnote>
  <w:footnote w:id="76">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Sve savezne američke države imaju </w:t>
      </w:r>
      <w:r w:rsidRPr="00095944">
        <w:rPr>
          <w:rFonts w:ascii="Adobe Garamond Pro" w:hAnsi="Adobe Garamond Pro"/>
          <w:i/>
          <w:sz w:val="18"/>
          <w:szCs w:val="18"/>
          <w:lang w:val="bs-Latn-BA"/>
        </w:rPr>
        <w:t>Common Law</w:t>
      </w:r>
      <w:r w:rsidRPr="00095944">
        <w:rPr>
          <w:rFonts w:ascii="Adobe Garamond Pro" w:hAnsi="Adobe Garamond Pro"/>
          <w:sz w:val="18"/>
          <w:szCs w:val="18"/>
          <w:lang w:val="bs-Latn-BA"/>
        </w:rPr>
        <w:t xml:space="preserve">  pravni sistem, sa izuzetkom savezne države Louisiana koja je bila pod jakim utjecajem Francuskog </w:t>
      </w:r>
      <w:r w:rsidRPr="00095944">
        <w:rPr>
          <w:rFonts w:ascii="Adobe Garamond Pro" w:hAnsi="Adobe Garamond Pro"/>
          <w:i/>
          <w:sz w:val="18"/>
          <w:szCs w:val="18"/>
          <w:lang w:val="bs-Latn-BA"/>
        </w:rPr>
        <w:t>Civil Law</w:t>
      </w:r>
      <w:r w:rsidRPr="00095944">
        <w:rPr>
          <w:rFonts w:ascii="Adobe Garamond Pro" w:hAnsi="Adobe Garamond Pro"/>
          <w:sz w:val="18"/>
          <w:szCs w:val="18"/>
          <w:lang w:val="bs-Latn-BA"/>
        </w:rPr>
        <w:t xml:space="preserve"> sistema što je i danas, ali ipak  ima i nekih osobina pravnih sistema tipa </w:t>
      </w:r>
      <w:r w:rsidRPr="00095944">
        <w:rPr>
          <w:rFonts w:ascii="Adobe Garamond Pro" w:hAnsi="Adobe Garamond Pro"/>
          <w:i/>
          <w:sz w:val="18"/>
          <w:szCs w:val="18"/>
          <w:lang w:val="bs-Latn-BA"/>
        </w:rPr>
        <w:t xml:space="preserve">Commom Law. </w:t>
      </w:r>
      <w:r w:rsidRPr="00095944">
        <w:rPr>
          <w:rFonts w:ascii="Adobe Garamond Pro" w:hAnsi="Adobe Garamond Pro"/>
          <w:sz w:val="18"/>
          <w:szCs w:val="18"/>
          <w:lang w:val="bs-Latn-BA"/>
        </w:rPr>
        <w:t xml:space="preserve">Vidi: 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str.781. </w:t>
      </w:r>
    </w:p>
  </w:footnote>
  <w:footnote w:id="77">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4. (e). - FRCP</w:t>
      </w:r>
    </w:p>
  </w:footnote>
  <w:footnote w:id="78">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12. (A) - FRCP. Rok za dostavu odgovora na tužbu bio je 20 dana sve do usvajanja Amandmana na FRCP od 01. 12. 2007.godine, kada je  izmijenjeno pravilo R. 12.  tako što je za odgovor na tužbu propisan rok 21 dan od dana dostave tužbe tuženiku.</w:t>
      </w:r>
    </w:p>
  </w:footnote>
  <w:footnote w:id="7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i/>
          <w:sz w:val="18"/>
          <w:szCs w:val="18"/>
          <w:lang w:val="bs-Latn-BA"/>
        </w:rPr>
        <w:footnoteRef/>
      </w:r>
      <w:r w:rsidRPr="00095944">
        <w:rPr>
          <w:rFonts w:ascii="Adobe Garamond Pro" w:hAnsi="Adobe Garamond Pro"/>
          <w:sz w:val="18"/>
          <w:szCs w:val="18"/>
          <w:lang w:val="bs-Latn-BA"/>
        </w:rPr>
        <w:t xml:space="preserve"> Vidi: S. Subrin,</w:t>
      </w:r>
      <w:r w:rsidRPr="00095944">
        <w:rPr>
          <w:rFonts w:ascii="Adobe Garamond Pro" w:hAnsi="Adobe Garamond Pro"/>
          <w:i/>
          <w:sz w:val="18"/>
          <w:szCs w:val="18"/>
          <w:lang w:val="bs-Latn-BA"/>
        </w:rPr>
        <w:t xml:space="preserve"> Litigation in America, </w:t>
      </w:r>
      <w:r w:rsidRPr="00095944">
        <w:rPr>
          <w:rFonts w:ascii="Adobe Garamond Pro" w:hAnsi="Adobe Garamond Pro"/>
          <w:sz w:val="18"/>
          <w:szCs w:val="18"/>
          <w:lang w:val="bs-Latn-BA"/>
        </w:rPr>
        <w:t>Aspen Publishers, New York, 2006., str. 112</w:t>
      </w:r>
      <w:r w:rsidRPr="00095944">
        <w:rPr>
          <w:rFonts w:ascii="Adobe Garamond Pro" w:hAnsi="Adobe Garamond Pro"/>
          <w:i/>
          <w:sz w:val="18"/>
          <w:szCs w:val="18"/>
          <w:lang w:val="bs-Latn-BA"/>
        </w:rPr>
        <w:t>.;</w:t>
      </w:r>
      <w:r w:rsidRPr="00095944">
        <w:rPr>
          <w:rFonts w:ascii="Adobe Garamond Pro" w:hAnsi="Adobe Garamond Pro"/>
          <w:sz w:val="18"/>
          <w:szCs w:val="18"/>
          <w:lang w:val="bs-Latn-BA"/>
        </w:rPr>
        <w:t xml:space="preserve"> Usp. R. 38. (b). - FRCP.</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Bez naredbe suda  nema obaveze tužitelja da se pismeno izjašnjava na navode odgovora na tužbu. Ustvari, tužitelj nije niti ovlašten izjašnjavati se na te navode bez odobrenja suda. </w:t>
      </w:r>
      <w:r w:rsidRPr="00095944">
        <w:rPr>
          <w:rFonts w:ascii="Adobe Garamond Pro" w:hAnsi="Adobe Garamond Pro"/>
          <w:i/>
          <w:sz w:val="18"/>
          <w:szCs w:val="18"/>
          <w:lang w:val="bs-Latn-BA"/>
        </w:rPr>
        <w:t>Ibidem.</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Pravo na porotno suđenje je garantovano Amandmanom br.VII. na Ustav USA. U Civilnim stvarima porota u sastavu od 6 do 12 članova  sudi činjenična pitanja</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Više o tome vidi: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 xml:space="preserve">S. Grubbs,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str.782. Usp.  FRCP - R. 8. (d) i R. 7. (a).</w:t>
      </w:r>
    </w:p>
  </w:footnote>
  <w:footnote w:id="80">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odgovoru  na tužbu tuženik treba  priznati ili osporiti sve ili pojedine činjenične navode tužbe, da bi se jasno znalo šta se spori. U njemu može isticati svoju odbranu, tj. iznositi navode kojima pobija osnovanost zahtjeva  da bi izbjegao svoju obavezu, pa i u pretpostavci da su svi tužbeni navodi istiniti. U odgovoru se tmože podnijeti i protivtužba ili tužba protiv drugog tuženika u istoj parnici. Tako: S. Grubbs, </w:t>
      </w:r>
      <w:r w:rsidRPr="00095944">
        <w:rPr>
          <w:rFonts w:ascii="Adobe Garamond Pro" w:hAnsi="Adobe Garamond Pro"/>
          <w:i/>
          <w:sz w:val="18"/>
          <w:szCs w:val="18"/>
          <w:lang w:val="bs-Latn-BA"/>
        </w:rPr>
        <w:t>op.cit.,</w:t>
      </w:r>
      <w:r w:rsidRPr="00095944">
        <w:rPr>
          <w:rFonts w:ascii="Adobe Garamond Pro" w:hAnsi="Adobe Garamond Pro"/>
          <w:sz w:val="18"/>
          <w:szCs w:val="18"/>
          <w:lang w:val="bs-Latn-BA"/>
        </w:rPr>
        <w:t xml:space="preserve"> str. 785.</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U pravu USA (i drugim zemljama </w:t>
      </w:r>
      <w:r w:rsidRPr="00095944">
        <w:rPr>
          <w:rFonts w:ascii="Adobe Garamond Pro" w:hAnsi="Adobe Garamond Pro"/>
          <w:i/>
          <w:sz w:val="18"/>
          <w:szCs w:val="18"/>
          <w:lang w:val="bs-Latn-BA"/>
        </w:rPr>
        <w:t>Common Law</w:t>
      </w:r>
      <w:r w:rsidRPr="00095944">
        <w:rPr>
          <w:rFonts w:ascii="Adobe Garamond Pro" w:hAnsi="Adobe Garamond Pro"/>
          <w:sz w:val="18"/>
          <w:szCs w:val="18"/>
          <w:lang w:val="bs-Latn-BA"/>
        </w:rPr>
        <w:t xml:space="preserve"> pravnog kruga) postoji jedna vrsta tužbe, odnosno zahtjeva tzv. </w:t>
      </w:r>
      <w:r w:rsidRPr="00095944">
        <w:rPr>
          <w:rFonts w:ascii="Adobe Garamond Pro" w:hAnsi="Adobe Garamond Pro"/>
          <w:i/>
          <w:sz w:val="18"/>
          <w:szCs w:val="18"/>
          <w:lang w:val="bs-Latn-BA"/>
        </w:rPr>
        <w:t xml:space="preserve">Cross – Clame, </w:t>
      </w:r>
      <w:r w:rsidRPr="00095944">
        <w:rPr>
          <w:rFonts w:ascii="Adobe Garamond Pro" w:hAnsi="Adobe Garamond Pro"/>
          <w:sz w:val="18"/>
          <w:szCs w:val="18"/>
          <w:lang w:val="bs-Latn-BA"/>
        </w:rPr>
        <w:t xml:space="preserve">koju podnosi tuženik protiv drugog tuženika iz iste parnice radi ostvarenje nekoga zahtjeva protiv njega. Dakle, to nije protivtužba koju podnosi tuženik protiv tužitelja, nego kod ove tužbe tuženik tužuje drugog tuženika iz iste parnice.  </w:t>
      </w:r>
    </w:p>
  </w:footnote>
  <w:footnote w:id="81">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55. (a) - FRCP</w:t>
      </w:r>
    </w:p>
  </w:footnote>
  <w:footnote w:id="8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P. Kerly</w:t>
      </w:r>
      <w:r w:rsidRPr="00095944">
        <w:rPr>
          <w:rFonts w:ascii="Adobe Garamond Pro" w:hAnsi="Adobe Garamond Pro"/>
          <w:i/>
          <w:sz w:val="18"/>
          <w:szCs w:val="18"/>
          <w:lang w:val="bs-Latn-BA"/>
        </w:rPr>
        <w:t xml:space="preserve">, Civil litigation, </w:t>
      </w:r>
      <w:r w:rsidRPr="00095944">
        <w:rPr>
          <w:rFonts w:ascii="Adobe Garamond Pro" w:hAnsi="Adobe Garamond Pro"/>
          <w:sz w:val="18"/>
          <w:szCs w:val="18"/>
          <w:lang w:val="bs-Latn-BA"/>
        </w:rPr>
        <w:t>Delmar, USA. 2009, str.188.;</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Usp. J. T. Cros,</w:t>
      </w:r>
      <w:r w:rsidRPr="00095944">
        <w:rPr>
          <w:rFonts w:ascii="Adobe Garamond Pro" w:hAnsi="Adobe Garamond Pro"/>
          <w:i/>
          <w:sz w:val="18"/>
          <w:szCs w:val="18"/>
          <w:lang w:val="bs-Latn-BA"/>
        </w:rPr>
        <w:t xml:space="preserve"> Civil Procedure, </w:t>
      </w:r>
      <w:r w:rsidRPr="00095944">
        <w:rPr>
          <w:rFonts w:ascii="Adobe Garamond Pro" w:hAnsi="Adobe Garamond Pro"/>
          <w:sz w:val="18"/>
          <w:szCs w:val="18"/>
          <w:lang w:val="bs-Latn-BA"/>
        </w:rPr>
        <w:t>New York, 2009, str. 184.</w:t>
      </w:r>
    </w:p>
  </w:footnote>
  <w:footnote w:id="83">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55. (b). - FRCP.</w:t>
      </w:r>
    </w:p>
  </w:footnote>
  <w:footnote w:id="84">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P. Kerly,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188. U prednjem se prepoznaje  materijalnopravna pretpostavka kontumacione presude.</w:t>
      </w:r>
    </w:p>
  </w:footnote>
  <w:footnote w:id="8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55. (c) - FRCP. Ovo pravilo propisuje „Ukidanje upisa propuštanja ili presude zbog propuštanja“(</w:t>
      </w:r>
      <w:r w:rsidRPr="00095944">
        <w:rPr>
          <w:rFonts w:ascii="Adobe Garamond Pro" w:hAnsi="Adobe Garamond Pro"/>
          <w:i/>
          <w:sz w:val="18"/>
          <w:szCs w:val="18"/>
          <w:lang w:val="bs-Latn-BA"/>
        </w:rPr>
        <w:t>Setting Aside a Default or a Default Judgment</w:t>
      </w:r>
      <w:r w:rsidRPr="00095944">
        <w:rPr>
          <w:rFonts w:ascii="Adobe Garamond Pro" w:hAnsi="Adobe Garamond Pro"/>
          <w:sz w:val="18"/>
          <w:szCs w:val="18"/>
          <w:lang w:val="bs-Latn-BA"/>
        </w:rPr>
        <w:t>); „</w:t>
      </w:r>
      <w:r w:rsidRPr="00095944">
        <w:rPr>
          <w:rFonts w:ascii="Adobe Garamond Pro" w:hAnsi="Adobe Garamond Pro"/>
          <w:i/>
          <w:sz w:val="18"/>
          <w:szCs w:val="18"/>
          <w:lang w:val="bs-Latn-BA"/>
        </w:rPr>
        <w:t>Set aside</w:t>
      </w:r>
      <w:r w:rsidRPr="00095944">
        <w:rPr>
          <w:rFonts w:ascii="Adobe Garamond Pro" w:hAnsi="Adobe Garamond Pro"/>
          <w:sz w:val="18"/>
          <w:szCs w:val="18"/>
          <w:lang w:val="bs-Latn-BA"/>
        </w:rPr>
        <w:t xml:space="preserve">“ u pravnim rječnicima u prijevodu imaju značenje „poništiti“ ili „ukinuti.“ (Vidi: D. Vićan, </w:t>
      </w:r>
      <w:r w:rsidRPr="00095944">
        <w:rPr>
          <w:rFonts w:ascii="Adobe Garamond Pro" w:hAnsi="Adobe Garamond Pro"/>
          <w:i/>
          <w:sz w:val="18"/>
          <w:szCs w:val="18"/>
          <w:lang w:val="bs-Latn-BA"/>
        </w:rPr>
        <w:t>Engleski za pravnike</w:t>
      </w:r>
      <w:r w:rsidRPr="00095944">
        <w:rPr>
          <w:rFonts w:ascii="Adobe Garamond Pro" w:hAnsi="Adobe Garamond Pro"/>
          <w:sz w:val="18"/>
          <w:szCs w:val="18"/>
          <w:lang w:val="bs-Latn-BA"/>
        </w:rPr>
        <w:t xml:space="preserve">, Zagreb, 2008, str. 256; Tako i B. Vukičević, </w:t>
      </w:r>
      <w:r w:rsidRPr="00095944">
        <w:rPr>
          <w:rFonts w:ascii="Adobe Garamond Pro" w:hAnsi="Adobe Garamond Pro"/>
          <w:i/>
          <w:sz w:val="18"/>
          <w:szCs w:val="18"/>
          <w:lang w:val="bs-Latn-BA"/>
        </w:rPr>
        <w:t>Dictionary of Law</w:t>
      </w:r>
      <w:r w:rsidRPr="00095944">
        <w:rPr>
          <w:rFonts w:ascii="Adobe Garamond Pro" w:hAnsi="Adobe Garamond Pro"/>
          <w:sz w:val="18"/>
          <w:szCs w:val="18"/>
          <w:lang w:val="bs-Latn-BA"/>
        </w:rPr>
        <w:t xml:space="preserve">, Beograd, 2008, str. 425.) U kontekstu presude zbog propuštanja bilo bi u duhu pravnih propisa parničnog postupka koristiti prijevod „ukidanje“ presude zbog propuštanja. </w:t>
      </w:r>
    </w:p>
  </w:footnote>
  <w:footnote w:id="86">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str. 187.</w:t>
      </w:r>
    </w:p>
  </w:footnote>
  <w:footnote w:id="87">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60. (b) FRCP;  Ako stranka dokaže da nije obaviještena o postupku, odnosno da joj nije dostavljena tužba, sud će automatski ukinuti presudu  zbog propuštanja. Usp. J. Cross,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186.</w:t>
      </w:r>
    </w:p>
  </w:footnote>
  <w:footnote w:id="88">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60. (c). 1. FRCP.</w:t>
      </w:r>
    </w:p>
  </w:footnote>
  <w:footnote w:id="89">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R. 60. (c). 2. FRCP.</w:t>
      </w:r>
    </w:p>
  </w:footnote>
  <w:footnote w:id="90">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Nedjelotvornost pobijanja ove presude povratom u prijašnje stanje otvara pitanje povrede prava propisanih  Ustavom FBiH i Europskom Konvencijim o ljudskim pravima, u vezi prava na djelotvoran pravni lijek. U tome smislu:  J. Čizmić, S. Miljko,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51. </w:t>
      </w:r>
    </w:p>
  </w:footnote>
  <w:footnote w:id="91">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Usp. Z. Kulenović,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328.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Odredbom čl. 13. Konvencije svakome se jamči pravo na djelotvoran pravni lijek, kojim se osobama čija su prava povrijeđena može osigurati, odnosno pružiti „odgovarajuća pomoć.“ Pri tom se kod ocjene djelotvornosti pravnog lijeka uzimaju u obzir svi pravni lijekovi koji su na raspolaganju u konkretnom slučaju. Tako R. Etinski</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„Pravo na djelotvoran pavni lijek u svjetlu prakse Evropskog suda za ljudska prava,</w:t>
      </w:r>
      <w:r w:rsidRPr="00095944">
        <w:rPr>
          <w:rFonts w:ascii="Adobe Garamond Pro" w:hAnsi="Adobe Garamond Pro"/>
          <w:i/>
          <w:sz w:val="18"/>
          <w:szCs w:val="18"/>
          <w:lang w:val="bs-Latn-BA"/>
        </w:rPr>
        <w:t>“ Zbornik radova Pravnog fakulteta u Novom Sadu, 200., br.2, str.436 – 437.</w:t>
      </w:r>
    </w:p>
  </w:footnote>
  <w:footnote w:id="92">
    <w:p w:rsidR="00C10CE3" w:rsidRPr="00095944" w:rsidRDefault="00C10CE3" w:rsidP="00C10CE3">
      <w:pPr>
        <w:pStyle w:val="FootnoteText"/>
        <w:rPr>
          <w:rFonts w:ascii="Adobe Garamond Pro" w:hAnsi="Adobe Garamond Pro"/>
          <w:i/>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Izvod iz čl. 6. st.1.</w:t>
      </w:r>
      <w:r w:rsidRPr="00095944">
        <w:rPr>
          <w:rFonts w:ascii="Adobe Garamond Pro" w:hAnsi="Adobe Garamond Pro"/>
          <w:i/>
          <w:sz w:val="18"/>
          <w:szCs w:val="18"/>
          <w:lang w:val="bs-Latn-BA"/>
        </w:rPr>
        <w:t xml:space="preserve"> Europske konvencije o ljudskim pravima </w:t>
      </w:r>
      <w:r w:rsidRPr="00095944">
        <w:rPr>
          <w:rFonts w:ascii="Adobe Garamond Pro" w:hAnsi="Adobe Garamond Pro"/>
          <w:sz w:val="18"/>
          <w:szCs w:val="18"/>
          <w:lang w:val="bs-Latn-BA"/>
        </w:rPr>
        <w:t>(u daljem tekstu Konvencija)</w:t>
      </w:r>
    </w:p>
  </w:footnote>
  <w:footnote w:id="93">
    <w:p w:rsidR="00C10CE3" w:rsidRPr="00095944" w:rsidRDefault="00C10CE3" w:rsidP="00C10CE3">
      <w:pPr>
        <w:pStyle w:val="FootnoteText"/>
        <w:rPr>
          <w:rFonts w:ascii="Adobe Garamond Pro" w:hAnsi="Adobe Garamond Pro"/>
          <w:i/>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Izvod iz čl. 13.</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Konvencije</w:t>
      </w:r>
    </w:p>
  </w:footnote>
  <w:footnote w:id="9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C. Harland,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278.</w:t>
      </w:r>
    </w:p>
  </w:footnote>
  <w:footnote w:id="95">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Detaljno o djelotvornosti pravnih lijekova vidi: Z. Mataga, </w:t>
      </w:r>
      <w:r w:rsidRPr="00095944">
        <w:rPr>
          <w:rFonts w:ascii="Adobe Garamond Pro" w:hAnsi="Adobe Garamond Pro"/>
          <w:i/>
          <w:sz w:val="18"/>
          <w:szCs w:val="18"/>
          <w:lang w:val="bs-Latn-BA"/>
        </w:rPr>
        <w:t>op.cit.,</w:t>
      </w:r>
      <w:r w:rsidRPr="00095944">
        <w:rPr>
          <w:rFonts w:ascii="Adobe Garamond Pro" w:hAnsi="Adobe Garamond Pro"/>
          <w:sz w:val="18"/>
          <w:szCs w:val="18"/>
          <w:lang w:val="bs-Latn-BA"/>
        </w:rPr>
        <w:t xml:space="preserve"> str. 96. </w:t>
      </w:r>
    </w:p>
  </w:footnote>
  <w:footnote w:id="96">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 C. Harland,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279.</w:t>
      </w:r>
    </w:p>
  </w:footnote>
  <w:footnote w:id="97">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str. 279.</w:t>
      </w:r>
    </w:p>
  </w:footnote>
  <w:footnote w:id="98">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Vidi: Z. Mataga,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103.</w:t>
      </w:r>
    </w:p>
  </w:footnote>
  <w:footnote w:id="99">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Prema stajalištu Europske komisije, odlučiti o meritumu zahtjeva, znači da sud mora imati uvjerljiv, razuman zaključak o meritumu zahtjeva. </w:t>
      </w:r>
      <w:r w:rsidRPr="00095944">
        <w:rPr>
          <w:rFonts w:ascii="Adobe Garamond Pro" w:hAnsi="Adobe Garamond Pro"/>
          <w:i/>
          <w:sz w:val="18"/>
          <w:szCs w:val="18"/>
          <w:lang w:val="bs-Latn-BA"/>
        </w:rPr>
        <w:t>Ibidem</w:t>
      </w:r>
      <w:r w:rsidRPr="00095944">
        <w:rPr>
          <w:rFonts w:ascii="Adobe Garamond Pro" w:hAnsi="Adobe Garamond Pro"/>
          <w:sz w:val="18"/>
          <w:szCs w:val="18"/>
          <w:lang w:val="bs-Latn-BA"/>
        </w:rPr>
        <w:t>,  str. 107.</w:t>
      </w:r>
    </w:p>
  </w:footnote>
  <w:footnote w:id="100">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Opširnije vidi C. Harland,  </w:t>
      </w:r>
      <w:r w:rsidRPr="00095944">
        <w:rPr>
          <w:rFonts w:ascii="Adobe Garamond Pro" w:hAnsi="Adobe Garamond Pro"/>
          <w:i/>
          <w:sz w:val="18"/>
          <w:szCs w:val="18"/>
          <w:lang w:val="bs-Latn-BA"/>
        </w:rPr>
        <w:t xml:space="preserve">op. cit., </w:t>
      </w:r>
      <w:r w:rsidRPr="00095944">
        <w:rPr>
          <w:rFonts w:ascii="Adobe Garamond Pro" w:hAnsi="Adobe Garamond Pro"/>
          <w:sz w:val="18"/>
          <w:szCs w:val="18"/>
          <w:lang w:val="bs-Latn-BA"/>
        </w:rPr>
        <w:t>str. 279.</w:t>
      </w:r>
    </w:p>
  </w:footnote>
  <w:footnote w:id="101">
    <w:p w:rsidR="00C10CE3" w:rsidRPr="00095944" w:rsidRDefault="00C10CE3" w:rsidP="00C10CE3">
      <w:pPr>
        <w:pStyle w:val="FootnoteText"/>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To i više o materijalnoj djelotvornosti pravnih lijekova vidi: Z. Mataga,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126.; </w:t>
      </w:r>
    </w:p>
    <w:p w:rsidR="00C10CE3" w:rsidRPr="00095944" w:rsidRDefault="00C10CE3" w:rsidP="00C10CE3">
      <w:pPr>
        <w:pStyle w:val="FootnoteText"/>
        <w:jc w:val="both"/>
        <w:rPr>
          <w:rFonts w:ascii="Adobe Garamond Pro" w:hAnsi="Adobe Garamond Pro"/>
          <w:sz w:val="18"/>
          <w:szCs w:val="18"/>
          <w:lang w:val="bs-Latn-BA"/>
        </w:rPr>
      </w:pPr>
      <w:r w:rsidRPr="00095944">
        <w:rPr>
          <w:rFonts w:ascii="Adobe Garamond Pro" w:hAnsi="Adobe Garamond Pro"/>
          <w:sz w:val="18"/>
          <w:szCs w:val="18"/>
          <w:lang w:val="bs-Latn-BA"/>
        </w:rPr>
        <w:t xml:space="preserve">Osoba čije je pravo povrijeđeno mora biti u mogućnosti da izvuče stvarnu korist od pravnog lijeka. Tako: C. Harland, </w:t>
      </w:r>
      <w:r w:rsidRPr="00095944">
        <w:rPr>
          <w:rFonts w:ascii="Adobe Garamond Pro" w:hAnsi="Adobe Garamond Pro"/>
          <w:i/>
          <w:sz w:val="18"/>
          <w:szCs w:val="18"/>
          <w:lang w:val="bs-Latn-BA"/>
        </w:rPr>
        <w:t>op. cit.,</w:t>
      </w:r>
      <w:r w:rsidRPr="00095944">
        <w:rPr>
          <w:rFonts w:ascii="Adobe Garamond Pro" w:hAnsi="Adobe Garamond Pro"/>
          <w:sz w:val="18"/>
          <w:szCs w:val="18"/>
          <w:lang w:val="bs-Latn-BA"/>
        </w:rPr>
        <w:t xml:space="preserve"> str. 279.</w:t>
      </w:r>
    </w:p>
  </w:footnote>
  <w:footnote w:id="102">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tome smislu:</w:t>
      </w:r>
      <w:r w:rsidRPr="00095944">
        <w:rPr>
          <w:rFonts w:ascii="Adobe Garamond Pro" w:hAnsi="Adobe Garamond Pro"/>
          <w:i/>
          <w:sz w:val="18"/>
          <w:szCs w:val="18"/>
          <w:lang w:val="bs-Latn-BA"/>
        </w:rPr>
        <w:t xml:space="preserve"> </w:t>
      </w:r>
      <w:r w:rsidRPr="00095944">
        <w:rPr>
          <w:rFonts w:ascii="Adobe Garamond Pro" w:hAnsi="Adobe Garamond Pro"/>
          <w:sz w:val="18"/>
          <w:szCs w:val="18"/>
          <w:lang w:val="bs-Latn-BA"/>
        </w:rPr>
        <w:t>B. Hrvatin, „Povrat u prijašnje stanje u parničnom i ovršnom postupku,</w:t>
      </w:r>
      <w:r w:rsidRPr="00095944">
        <w:rPr>
          <w:rFonts w:ascii="Adobe Garamond Pro" w:hAnsi="Adobe Garamond Pro"/>
          <w:i/>
          <w:sz w:val="18"/>
          <w:szCs w:val="18"/>
          <w:lang w:val="bs-Latn-BA"/>
        </w:rPr>
        <w:t>“ Informator, br. 4742-4743</w:t>
      </w:r>
      <w:r w:rsidRPr="00095944">
        <w:rPr>
          <w:rFonts w:ascii="Adobe Garamond Pro" w:hAnsi="Adobe Garamond Pro"/>
          <w:sz w:val="18"/>
          <w:szCs w:val="18"/>
          <w:lang w:val="bs-Latn-BA"/>
        </w:rPr>
        <w:t>, kolovoz 1999. godine, str. 19.</w:t>
      </w:r>
    </w:p>
  </w:footnote>
  <w:footnote w:id="103">
    <w:p w:rsidR="00C10CE3" w:rsidRPr="00095944" w:rsidRDefault="00C10CE3" w:rsidP="00C10CE3">
      <w:pPr>
        <w:pStyle w:val="FootnoteText"/>
        <w:jc w:val="both"/>
        <w:rPr>
          <w:rFonts w:ascii="Adobe Garamond Pro" w:hAnsi="Adobe Garamond Pro"/>
          <w:i/>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Sud rješenjem odlučuje o prijedlogu za povrat. Rješenje kojim dopušta povrat je konstitutivne naravi - njegovom se pravomoćnošću parnica vraća u stanje u kojem se nalazila prije propuštanja. U tome smislu: M. Dika,</w:t>
      </w:r>
      <w:r w:rsidRPr="00095944">
        <w:rPr>
          <w:rFonts w:ascii="Adobe Garamond Pro" w:hAnsi="Adobe Garamond Pro"/>
          <w:i/>
          <w:sz w:val="18"/>
          <w:szCs w:val="18"/>
          <w:lang w:val="bs-Latn-BA"/>
        </w:rPr>
        <w:t xml:space="preserve"> Parnično procesno pravo, op. cit.,</w:t>
      </w:r>
      <w:r w:rsidRPr="00095944">
        <w:rPr>
          <w:rFonts w:ascii="Adobe Garamond Pro" w:hAnsi="Adobe Garamond Pro"/>
          <w:sz w:val="18"/>
          <w:szCs w:val="18"/>
          <w:lang w:val="bs-Latn-BA"/>
        </w:rPr>
        <w:t xml:space="preserve"> str. 123.</w:t>
      </w:r>
    </w:p>
  </w:footnote>
  <w:footnote w:id="104">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Statistički podaci su iz službene evidencije Visokog sudskog i tužilačkog vijeća Bosne i Hercegovine a pribavljeni za svaku kalendarsku godinu u posmatranom periodu 2009 do 2012 godine. Podaci su pribavljeni na osnovu: Rješenja VSTV br. 01-50-1137-5/11, od 14.04.2011. godine i Rješenja VSTV br. 01-50-1307-2/2013 od 23.04. 2013. godine. Podaci su prikupljeni za ukupno 52 prvostepena suda u Federaciji BiH i u Republici  Srpskoj.</w:t>
      </w:r>
    </w:p>
  </w:footnote>
  <w:footnote w:id="105">
    <w:p w:rsidR="00C10CE3" w:rsidRPr="00095944" w:rsidRDefault="00C10CE3" w:rsidP="00C10CE3">
      <w:pPr>
        <w:pStyle w:val="FootnoteText"/>
        <w:jc w:val="both"/>
        <w:rPr>
          <w:rFonts w:ascii="Adobe Garamond Pro" w:hAnsi="Adobe Garamond Pro"/>
          <w:sz w:val="18"/>
          <w:szCs w:val="18"/>
          <w:lang w:val="bs-Latn-BA"/>
        </w:rPr>
      </w:pPr>
      <w:r w:rsidRPr="00095944">
        <w:rPr>
          <w:rStyle w:val="FootnoteReference"/>
          <w:rFonts w:ascii="Adobe Garamond Pro" w:hAnsi="Adobe Garamond Pro"/>
          <w:sz w:val="18"/>
          <w:szCs w:val="18"/>
          <w:lang w:val="bs-Latn-BA"/>
        </w:rPr>
        <w:footnoteRef/>
      </w:r>
      <w:r w:rsidRPr="00095944">
        <w:rPr>
          <w:rFonts w:ascii="Adobe Garamond Pro" w:hAnsi="Adobe Garamond Pro"/>
          <w:sz w:val="18"/>
          <w:szCs w:val="18"/>
          <w:lang w:val="bs-Latn-BA"/>
        </w:rPr>
        <w:t xml:space="preserve"> U Republici Srpskoj izmjenama i dopunama ZPP iz 2013. godine su otklonjeni nedostaci u načinu pobijanja ove presude tako da se ona može pobijati žalbom. Međutim, još uvijek postoje nedostaci koji se odnose na propisane pretpostavke za njeno donošenje, što je navedeno u zaključku u dijelu o prijedlozima  izmjena i dopuna ZPP oba entiteta.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017CEA"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Muhamed Cimirotić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017CEA" w:rsidRDefault="00017CEA" w:rsidP="00017CEA">
    <w:pPr>
      <w:pStyle w:val="Header"/>
      <w:pBdr>
        <w:bottom w:val="single" w:sz="4" w:space="1" w:color="auto"/>
      </w:pBdr>
      <w:jc w:val="right"/>
      <w:rPr>
        <w:rFonts w:ascii="Adobe Garamond Pro" w:hAnsi="Adobe Garamond Pro"/>
        <w:sz w:val="20"/>
        <w:szCs w:val="20"/>
      </w:rPr>
    </w:pPr>
    <w:r w:rsidRPr="00017CEA">
      <w:rPr>
        <w:rFonts w:ascii="Adobe Garamond Pro" w:hAnsi="Adobe Garamond Pro"/>
        <w:sz w:val="20"/>
        <w:szCs w:val="20"/>
      </w:rPr>
      <w:t xml:space="preserve">Kontumacione presude u pravima nekih europskih zemalja i </w:t>
    </w:r>
    <w:r>
      <w:rPr>
        <w:rFonts w:ascii="Adobe Garamond Pro" w:hAnsi="Adobe Garamond Pro"/>
        <w:sz w:val="20"/>
        <w:szCs w:val="20"/>
      </w:rPr>
      <w:t>S</w:t>
    </w:r>
    <w:r w:rsidRPr="00017CEA">
      <w:rPr>
        <w:rFonts w:ascii="Adobe Garamond Pro" w:hAnsi="Adobe Garamond Pro"/>
        <w:sz w:val="20"/>
        <w:szCs w:val="20"/>
      </w:rPr>
      <w:t xml:space="preserve">jedinjenih </w:t>
    </w:r>
    <w:r>
      <w:rPr>
        <w:rFonts w:ascii="Adobe Garamond Pro" w:hAnsi="Adobe Garamond Pro"/>
        <w:sz w:val="20"/>
        <w:szCs w:val="20"/>
      </w:rPr>
      <w:t>a</w:t>
    </w:r>
    <w:r w:rsidRPr="00017CEA">
      <w:rPr>
        <w:rFonts w:ascii="Adobe Garamond Pro" w:hAnsi="Adobe Garamond Pro"/>
        <w:sz w:val="20"/>
        <w:szCs w:val="20"/>
      </w:rPr>
      <w:t>meričkih država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D330A"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017CEA">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017CEA" w:rsidRDefault="00017CEA" w:rsidP="00E42784">
    <w:pPr>
      <w:pStyle w:val="Header"/>
      <w:jc w:val="right"/>
      <w:rPr>
        <w:rFonts w:ascii="Adobe Garamond Pro" w:hAnsi="Adobe Garamond Pro"/>
        <w:sz w:val="20"/>
        <w:szCs w:val="20"/>
      </w:rPr>
    </w:pPr>
    <w:r w:rsidRPr="00017CEA">
      <w:rPr>
        <w:rFonts w:ascii="Adobe Garamond Pro" w:hAnsi="Adobe Garamond Pro"/>
        <w:sz w:val="20"/>
        <w:szCs w:val="20"/>
      </w:rPr>
      <w:t>UDK 347.951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B563A"/>
    <w:multiLevelType w:val="hybridMultilevel"/>
    <w:tmpl w:val="4E20872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17CEA"/>
    <w:rsid w:val="00034003"/>
    <w:rsid w:val="000349E3"/>
    <w:rsid w:val="000365FB"/>
    <w:rsid w:val="00036A11"/>
    <w:rsid w:val="00044C5F"/>
    <w:rsid w:val="000530A5"/>
    <w:rsid w:val="00053AA9"/>
    <w:rsid w:val="0005550E"/>
    <w:rsid w:val="000672FF"/>
    <w:rsid w:val="000733F7"/>
    <w:rsid w:val="00077FF9"/>
    <w:rsid w:val="00095944"/>
    <w:rsid w:val="000A61F6"/>
    <w:rsid w:val="000B01A3"/>
    <w:rsid w:val="000C0BA7"/>
    <w:rsid w:val="000C28A8"/>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A6891"/>
    <w:rsid w:val="001B0A65"/>
    <w:rsid w:val="001C6DC9"/>
    <w:rsid w:val="001D4039"/>
    <w:rsid w:val="001F0AD6"/>
    <w:rsid w:val="002002DE"/>
    <w:rsid w:val="00205247"/>
    <w:rsid w:val="0023078B"/>
    <w:rsid w:val="00230AB1"/>
    <w:rsid w:val="002478E7"/>
    <w:rsid w:val="0025264C"/>
    <w:rsid w:val="00260E15"/>
    <w:rsid w:val="00264C3A"/>
    <w:rsid w:val="00266546"/>
    <w:rsid w:val="002675B4"/>
    <w:rsid w:val="002715B8"/>
    <w:rsid w:val="00295E18"/>
    <w:rsid w:val="002A04A4"/>
    <w:rsid w:val="002A4A58"/>
    <w:rsid w:val="002D2430"/>
    <w:rsid w:val="002D5F3F"/>
    <w:rsid w:val="00306F6C"/>
    <w:rsid w:val="00323B9C"/>
    <w:rsid w:val="003328EE"/>
    <w:rsid w:val="00346C37"/>
    <w:rsid w:val="00351FA0"/>
    <w:rsid w:val="003619F7"/>
    <w:rsid w:val="00373172"/>
    <w:rsid w:val="00373213"/>
    <w:rsid w:val="003811A8"/>
    <w:rsid w:val="003866F8"/>
    <w:rsid w:val="00391C9A"/>
    <w:rsid w:val="00394B5C"/>
    <w:rsid w:val="003A68BB"/>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74557"/>
    <w:rsid w:val="00493C49"/>
    <w:rsid w:val="004A242E"/>
    <w:rsid w:val="004A54A8"/>
    <w:rsid w:val="004A6567"/>
    <w:rsid w:val="004B37E4"/>
    <w:rsid w:val="004B3A89"/>
    <w:rsid w:val="004B6972"/>
    <w:rsid w:val="004C4A36"/>
    <w:rsid w:val="004D6203"/>
    <w:rsid w:val="004E12C9"/>
    <w:rsid w:val="004F170C"/>
    <w:rsid w:val="00530415"/>
    <w:rsid w:val="00531F88"/>
    <w:rsid w:val="005346A2"/>
    <w:rsid w:val="00556080"/>
    <w:rsid w:val="00560AF8"/>
    <w:rsid w:val="005706BE"/>
    <w:rsid w:val="00571462"/>
    <w:rsid w:val="0057627F"/>
    <w:rsid w:val="00592DA0"/>
    <w:rsid w:val="00596A8C"/>
    <w:rsid w:val="005B3CF2"/>
    <w:rsid w:val="005B43FA"/>
    <w:rsid w:val="005C0F1F"/>
    <w:rsid w:val="005D698D"/>
    <w:rsid w:val="005E1A2F"/>
    <w:rsid w:val="005E23E9"/>
    <w:rsid w:val="00602D3F"/>
    <w:rsid w:val="0060537C"/>
    <w:rsid w:val="00613D8A"/>
    <w:rsid w:val="00613E74"/>
    <w:rsid w:val="00620829"/>
    <w:rsid w:val="0063245A"/>
    <w:rsid w:val="006510A9"/>
    <w:rsid w:val="006529B1"/>
    <w:rsid w:val="00653677"/>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0EED"/>
    <w:rsid w:val="00705BAA"/>
    <w:rsid w:val="0071078B"/>
    <w:rsid w:val="00713C82"/>
    <w:rsid w:val="00713CAD"/>
    <w:rsid w:val="00714555"/>
    <w:rsid w:val="007236FD"/>
    <w:rsid w:val="0074603D"/>
    <w:rsid w:val="00747375"/>
    <w:rsid w:val="00770E83"/>
    <w:rsid w:val="00773023"/>
    <w:rsid w:val="00780596"/>
    <w:rsid w:val="0079057C"/>
    <w:rsid w:val="007933BA"/>
    <w:rsid w:val="007A561A"/>
    <w:rsid w:val="007B3197"/>
    <w:rsid w:val="007B7B96"/>
    <w:rsid w:val="007C24B3"/>
    <w:rsid w:val="007D053A"/>
    <w:rsid w:val="007D1016"/>
    <w:rsid w:val="007D6BA9"/>
    <w:rsid w:val="007E3554"/>
    <w:rsid w:val="007E4538"/>
    <w:rsid w:val="0080060A"/>
    <w:rsid w:val="0081074D"/>
    <w:rsid w:val="00815E51"/>
    <w:rsid w:val="00821579"/>
    <w:rsid w:val="008225F3"/>
    <w:rsid w:val="008358CA"/>
    <w:rsid w:val="00850431"/>
    <w:rsid w:val="00860F7D"/>
    <w:rsid w:val="00866181"/>
    <w:rsid w:val="008945B7"/>
    <w:rsid w:val="008A1803"/>
    <w:rsid w:val="008B1D50"/>
    <w:rsid w:val="008C4302"/>
    <w:rsid w:val="008D5D57"/>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1521"/>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929C1"/>
    <w:rsid w:val="00BA6278"/>
    <w:rsid w:val="00BB0CA7"/>
    <w:rsid w:val="00BB257C"/>
    <w:rsid w:val="00BB50C0"/>
    <w:rsid w:val="00BB6952"/>
    <w:rsid w:val="00BC543C"/>
    <w:rsid w:val="00BD0D1C"/>
    <w:rsid w:val="00BD4C8D"/>
    <w:rsid w:val="00BE7F6D"/>
    <w:rsid w:val="00BF0675"/>
    <w:rsid w:val="00BF5820"/>
    <w:rsid w:val="00BF5AC4"/>
    <w:rsid w:val="00C07933"/>
    <w:rsid w:val="00C10CE3"/>
    <w:rsid w:val="00C3459A"/>
    <w:rsid w:val="00C35FC7"/>
    <w:rsid w:val="00C36995"/>
    <w:rsid w:val="00C608B0"/>
    <w:rsid w:val="00C91AFD"/>
    <w:rsid w:val="00CA4B30"/>
    <w:rsid w:val="00CB5B2F"/>
    <w:rsid w:val="00CD34F5"/>
    <w:rsid w:val="00CD4D07"/>
    <w:rsid w:val="00CD7B71"/>
    <w:rsid w:val="00D02705"/>
    <w:rsid w:val="00D106B5"/>
    <w:rsid w:val="00D12AEB"/>
    <w:rsid w:val="00D13677"/>
    <w:rsid w:val="00D3545E"/>
    <w:rsid w:val="00D40931"/>
    <w:rsid w:val="00D4503E"/>
    <w:rsid w:val="00D53755"/>
    <w:rsid w:val="00D54356"/>
    <w:rsid w:val="00D56704"/>
    <w:rsid w:val="00D76604"/>
    <w:rsid w:val="00D85967"/>
    <w:rsid w:val="00D92C4B"/>
    <w:rsid w:val="00D93FE7"/>
    <w:rsid w:val="00D9549C"/>
    <w:rsid w:val="00D97725"/>
    <w:rsid w:val="00DB73D7"/>
    <w:rsid w:val="00DC3D12"/>
    <w:rsid w:val="00DC55CE"/>
    <w:rsid w:val="00DD330A"/>
    <w:rsid w:val="00DE357D"/>
    <w:rsid w:val="00DF646E"/>
    <w:rsid w:val="00E02286"/>
    <w:rsid w:val="00E030D6"/>
    <w:rsid w:val="00E178B6"/>
    <w:rsid w:val="00E25C98"/>
    <w:rsid w:val="00E35914"/>
    <w:rsid w:val="00E4278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16DA"/>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2118-9D9C-40CD-A5DC-42C4DA53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44</cp:revision>
  <dcterms:created xsi:type="dcterms:W3CDTF">2014-04-10T20:22:00Z</dcterms:created>
  <dcterms:modified xsi:type="dcterms:W3CDTF">2014-04-30T12:40:00Z</dcterms:modified>
</cp:coreProperties>
</file>