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E4" w:rsidRPr="00EE59E4" w:rsidRDefault="00EE59E4" w:rsidP="00EE59E4">
      <w:pPr>
        <w:pStyle w:val="Title"/>
        <w:jc w:val="center"/>
        <w:outlineLvl w:val="0"/>
        <w:rPr>
          <w:rFonts w:ascii="Times New Roman" w:hAnsi="Times New Roman" w:cs="Times New Roman"/>
          <w:color w:val="000000" w:themeColor="text1"/>
          <w:sz w:val="28"/>
          <w:szCs w:val="28"/>
        </w:rPr>
      </w:pPr>
      <w:bookmarkStart w:id="0" w:name="_Toc354517513"/>
      <w:proofErr w:type="spellStart"/>
      <w:r w:rsidRPr="00EE59E4">
        <w:rPr>
          <w:rFonts w:ascii="Times New Roman" w:hAnsi="Times New Roman" w:cs="Times New Roman"/>
          <w:color w:val="000000" w:themeColor="text1"/>
          <w:sz w:val="28"/>
          <w:szCs w:val="28"/>
        </w:rPr>
        <w:t>Correlation</w:t>
      </w:r>
      <w:proofErr w:type="spellEnd"/>
      <w:r w:rsidRPr="00EE59E4">
        <w:rPr>
          <w:rFonts w:ascii="Times New Roman" w:hAnsi="Times New Roman" w:cs="Times New Roman"/>
          <w:color w:val="000000" w:themeColor="text1"/>
          <w:sz w:val="28"/>
          <w:szCs w:val="28"/>
        </w:rPr>
        <w:t xml:space="preserve"> of Change in </w:t>
      </w:r>
      <w:proofErr w:type="spellStart"/>
      <w:r w:rsidRPr="00EE59E4">
        <w:rPr>
          <w:rFonts w:ascii="Times New Roman" w:hAnsi="Times New Roman" w:cs="Times New Roman"/>
          <w:color w:val="000000" w:themeColor="text1"/>
          <w:sz w:val="28"/>
          <w:szCs w:val="28"/>
        </w:rPr>
        <w:t>Fundamental</w:t>
      </w:r>
      <w:proofErr w:type="spellEnd"/>
      <w:r w:rsidRPr="00EE59E4">
        <w:rPr>
          <w:rFonts w:ascii="Times New Roman" w:hAnsi="Times New Roman" w:cs="Times New Roman"/>
          <w:color w:val="000000" w:themeColor="text1"/>
          <w:sz w:val="28"/>
          <w:szCs w:val="28"/>
        </w:rPr>
        <w:t xml:space="preserve"> </w:t>
      </w:r>
      <w:proofErr w:type="spellStart"/>
      <w:r w:rsidRPr="00EE59E4">
        <w:rPr>
          <w:rFonts w:ascii="Times New Roman" w:hAnsi="Times New Roman" w:cs="Times New Roman"/>
          <w:color w:val="000000" w:themeColor="text1"/>
          <w:sz w:val="28"/>
          <w:szCs w:val="28"/>
        </w:rPr>
        <w:t>Indicators</w:t>
      </w:r>
      <w:proofErr w:type="spellEnd"/>
      <w:r w:rsidRPr="00EE59E4">
        <w:rPr>
          <w:rFonts w:ascii="Times New Roman" w:hAnsi="Times New Roman" w:cs="Times New Roman"/>
          <w:color w:val="000000" w:themeColor="text1"/>
          <w:sz w:val="28"/>
          <w:szCs w:val="28"/>
        </w:rPr>
        <w:t xml:space="preserve"> and Stock Price </w:t>
      </w:r>
      <w:proofErr w:type="spellStart"/>
      <w:r w:rsidRPr="00EE59E4">
        <w:rPr>
          <w:rFonts w:ascii="Times New Roman" w:hAnsi="Times New Roman" w:cs="Times New Roman"/>
          <w:color w:val="000000" w:themeColor="text1"/>
          <w:sz w:val="28"/>
          <w:szCs w:val="28"/>
        </w:rPr>
        <w:t>Movements</w:t>
      </w:r>
      <w:proofErr w:type="spellEnd"/>
      <w:r w:rsidRPr="00EE59E4">
        <w:rPr>
          <w:rFonts w:ascii="Times New Roman" w:hAnsi="Times New Roman" w:cs="Times New Roman"/>
          <w:color w:val="000000" w:themeColor="text1"/>
          <w:sz w:val="28"/>
          <w:szCs w:val="28"/>
        </w:rPr>
        <w:t xml:space="preserve"> on Sarajevo Stock Exchange</w:t>
      </w:r>
      <w:bookmarkEnd w:id="0"/>
    </w:p>
    <w:p w:rsidR="00EE59E4" w:rsidRPr="00EE59E4" w:rsidRDefault="00EE59E4" w:rsidP="00EE59E4">
      <w:pPr>
        <w:pStyle w:val="NoSpacing"/>
        <w:spacing w:line="240" w:lineRule="auto"/>
        <w:jc w:val="center"/>
        <w:outlineLvl w:val="1"/>
        <w:rPr>
          <w:rFonts w:ascii="Times New Roman" w:hAnsi="Times New Roman"/>
          <w:b/>
          <w:color w:val="000000" w:themeColor="text1"/>
        </w:rPr>
      </w:pPr>
      <w:bookmarkStart w:id="1" w:name="_Toc354517514"/>
      <w:proofErr w:type="spellStart"/>
      <w:r w:rsidRPr="00EE59E4">
        <w:rPr>
          <w:rFonts w:ascii="Times New Roman" w:hAnsi="Times New Roman"/>
          <w:b/>
          <w:color w:val="000000" w:themeColor="text1"/>
        </w:rPr>
        <w:t>Enis</w:t>
      </w:r>
      <w:proofErr w:type="spellEnd"/>
      <w:r w:rsidRPr="00EE59E4">
        <w:rPr>
          <w:rFonts w:ascii="Times New Roman" w:hAnsi="Times New Roman"/>
          <w:b/>
          <w:color w:val="000000" w:themeColor="text1"/>
        </w:rPr>
        <w:t xml:space="preserve"> </w:t>
      </w:r>
      <w:proofErr w:type="spellStart"/>
      <w:r w:rsidRPr="00EE59E4">
        <w:rPr>
          <w:rFonts w:ascii="Times New Roman" w:hAnsi="Times New Roman"/>
          <w:b/>
          <w:color w:val="000000" w:themeColor="text1"/>
        </w:rPr>
        <w:t>Dzanic</w:t>
      </w:r>
      <w:bookmarkEnd w:id="1"/>
      <w:proofErr w:type="spellEnd"/>
    </w:p>
    <w:p w:rsidR="00EE59E4" w:rsidRPr="00EE59E4" w:rsidRDefault="00EE59E4" w:rsidP="00EE59E4">
      <w:pPr>
        <w:pStyle w:val="NoSpacing"/>
        <w:spacing w:line="240" w:lineRule="auto"/>
        <w:jc w:val="center"/>
        <w:rPr>
          <w:rFonts w:ascii="Times New Roman" w:hAnsi="Times New Roman"/>
          <w:i/>
          <w:color w:val="000000" w:themeColor="text1"/>
        </w:rPr>
      </w:pPr>
      <w:proofErr w:type="spellStart"/>
      <w:r w:rsidRPr="00EE59E4">
        <w:rPr>
          <w:rFonts w:ascii="Times New Roman" w:hAnsi="Times New Roman"/>
          <w:i/>
          <w:color w:val="000000" w:themeColor="text1"/>
          <w:lang w:val="tr-TR" w:eastAsia="tr-TR"/>
        </w:rPr>
        <w:t>University</w:t>
      </w:r>
      <w:proofErr w:type="spellEnd"/>
      <w:r w:rsidRPr="00EE59E4">
        <w:rPr>
          <w:rFonts w:ascii="Times New Roman" w:hAnsi="Times New Roman"/>
          <w:i/>
          <w:color w:val="000000" w:themeColor="text1"/>
          <w:lang w:val="tr-TR" w:eastAsia="tr-TR"/>
        </w:rPr>
        <w:t xml:space="preserve"> of </w:t>
      </w:r>
      <w:proofErr w:type="spellStart"/>
      <w:r w:rsidRPr="00EE59E4">
        <w:rPr>
          <w:rFonts w:ascii="Times New Roman" w:hAnsi="Times New Roman"/>
          <w:i/>
          <w:color w:val="000000" w:themeColor="text1"/>
          <w:lang w:val="tr-TR" w:eastAsia="tr-TR"/>
        </w:rPr>
        <w:t>Bihac</w:t>
      </w:r>
      <w:proofErr w:type="spellEnd"/>
      <w:r w:rsidRPr="00EE59E4">
        <w:rPr>
          <w:rFonts w:ascii="Times New Roman" w:hAnsi="Times New Roman"/>
          <w:i/>
          <w:color w:val="000000" w:themeColor="text1"/>
          <w:lang w:val="tr-TR"/>
        </w:rPr>
        <w:t xml:space="preserve">, </w:t>
      </w:r>
      <w:r w:rsidRPr="00EE59E4">
        <w:rPr>
          <w:rFonts w:ascii="Times New Roman" w:hAnsi="Times New Roman"/>
          <w:i/>
          <w:color w:val="000000" w:themeColor="text1"/>
          <w:shd w:val="clear" w:color="auto" w:fill="FFFFFF"/>
        </w:rPr>
        <w:t xml:space="preserve">Bosnia and Herzegovina </w:t>
      </w:r>
    </w:p>
    <w:p w:rsidR="00EE59E4" w:rsidRPr="00EE59E4" w:rsidRDefault="00EA7048" w:rsidP="00EE59E4">
      <w:pPr>
        <w:pStyle w:val="NoSpacing"/>
        <w:spacing w:line="240" w:lineRule="auto"/>
        <w:jc w:val="center"/>
        <w:rPr>
          <w:rFonts w:ascii="Times New Roman" w:hAnsi="Times New Roman"/>
          <w:color w:val="000000" w:themeColor="text1"/>
        </w:rPr>
      </w:pPr>
      <w:hyperlink r:id="rId7">
        <w:r w:rsidR="00EE59E4" w:rsidRPr="00EE59E4">
          <w:rPr>
            <w:rStyle w:val="InternetLink"/>
            <w:rFonts w:ascii="Times New Roman" w:hAnsi="Times New Roman"/>
            <w:color w:val="000000" w:themeColor="text1"/>
            <w:shd w:val="clear" w:color="auto" w:fill="FFFFFF"/>
          </w:rPr>
          <w:t>enis.dzanic@bih.net.ba</w:t>
        </w:r>
      </w:hyperlink>
    </w:p>
    <w:p w:rsidR="00285B9A" w:rsidRPr="00B34A11" w:rsidRDefault="00285B9A" w:rsidP="00DC0765">
      <w:pPr>
        <w:jc w:val="center"/>
        <w:rPr>
          <w:b/>
          <w:noProof/>
          <w:sz w:val="22"/>
          <w:szCs w:val="22"/>
          <w:lang w:val="en-US"/>
        </w:rPr>
      </w:pPr>
    </w:p>
    <w:p w:rsidR="00285B9A" w:rsidRPr="00B34A11" w:rsidRDefault="00285B9A" w:rsidP="000C0831">
      <w:pPr>
        <w:jc w:val="both"/>
        <w:rPr>
          <w:b/>
          <w:noProof/>
          <w:sz w:val="22"/>
          <w:szCs w:val="22"/>
          <w:lang w:val="en-US"/>
        </w:rPr>
      </w:pPr>
    </w:p>
    <w:p w:rsidR="00B976C6" w:rsidRPr="00B34A11" w:rsidRDefault="0027743E" w:rsidP="00B976C6">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885E46" w:rsidRPr="00885E46" w:rsidRDefault="00885E46" w:rsidP="00885E46">
      <w:pPr>
        <w:ind w:left="567" w:right="567"/>
        <w:jc w:val="both"/>
        <w:rPr>
          <w:noProof/>
          <w:sz w:val="22"/>
          <w:szCs w:val="22"/>
          <w:lang w:val="en-US"/>
        </w:rPr>
      </w:pPr>
      <w:r w:rsidRPr="00885E46">
        <w:rPr>
          <w:noProof/>
          <w:sz w:val="22"/>
          <w:szCs w:val="22"/>
          <w:lang w:val="en-US"/>
        </w:rPr>
        <w:t>Fundamental analysis is regarded as one of the key tools in evaluating securities by examining intrinsic value of the business, trough primarily the analysis of its financial statements. Although in the short run, various factors might influence investment sentiment and thus stock price movements, in the long run fundamentals should determine stock price performance. Sarajevo Stock Exchange is a pioneering enterprise in the development of a capital market in Bosnian transition economy. Upon examining stock price movements and trade volumes over its ten year history, it is difficult to argue that high volatility in both factors can be attributed to changes in corporate fundamentals. We can thus argue that irrational or speculative determinants are at play; a discouraging prospect for a developing capital market. In order to investigate the correlation between the change in fundamental indicators and stock price movements, ten major companies listed on the exchange were selected using pre-defined criteria, and key fundamental indicators, as well as stock price volatility was examined for a five year period during which Sarajevo Stock Exchange had highest trade volumes. The results indicate that ratios that are price-independent have volatility ten times lower than ratios that are price-determined. Additionally, stock price analysis indicates high standard deviation; a traditionally accepted measure of volatility and intra-year stock price spreads often reach hundreds of percent. Furthermore, when selected indicators are correlated with stock price movements, the research determined that correlation coefficients are low, sometimes negative, suggesting no linear relationship between the change in fundamental indicators and the change in the price of the security. The result of high-risk high-volatility market situation was a significant decline in value of securities listed on the exchange. This decline led to a loss of confidence of individual investors in the exchange which can be illustrated by low trading volumes in the last few years, usually in the region of 1% to 3% of 2007 levels. The exchange thus is incapable of serving most of functions traditionally associated with the business.</w:t>
      </w:r>
    </w:p>
    <w:p w:rsidR="00885E46" w:rsidRPr="00885E46" w:rsidRDefault="00885E46" w:rsidP="00885E46">
      <w:pPr>
        <w:ind w:left="567" w:right="567"/>
        <w:jc w:val="both"/>
        <w:rPr>
          <w:noProof/>
          <w:sz w:val="22"/>
          <w:szCs w:val="22"/>
          <w:lang w:val="en-US"/>
        </w:rPr>
      </w:pPr>
    </w:p>
    <w:p w:rsidR="00EE1A90" w:rsidRPr="00AC42E5" w:rsidRDefault="00885E46" w:rsidP="00885E46">
      <w:pPr>
        <w:ind w:left="567" w:right="567"/>
        <w:jc w:val="both"/>
        <w:rPr>
          <w:noProof/>
          <w:color w:val="000000"/>
          <w:lang w:val="en-US"/>
        </w:rPr>
      </w:pPr>
      <w:r w:rsidRPr="00885E46">
        <w:rPr>
          <w:b/>
          <w:noProof/>
          <w:sz w:val="22"/>
          <w:szCs w:val="22"/>
          <w:lang w:val="en-US"/>
        </w:rPr>
        <w:t>Keywords:</w:t>
      </w:r>
      <w:r w:rsidRPr="00885E46">
        <w:rPr>
          <w:noProof/>
          <w:sz w:val="22"/>
          <w:szCs w:val="22"/>
          <w:lang w:val="en-US"/>
        </w:rPr>
        <w:t xml:space="preserve"> Stock Price Volatility, Fundamental Analysis, Sarajevo Stock Exchange</w:t>
      </w:r>
      <w:r>
        <w:rPr>
          <w:noProof/>
          <w:sz w:val="22"/>
          <w:szCs w:val="22"/>
          <w:lang w:val="en-US"/>
        </w:rPr>
        <w:t>.</w:t>
      </w:r>
    </w:p>
    <w:p w:rsidR="00285B9A" w:rsidRDefault="00285B9A" w:rsidP="000C0831">
      <w:pPr>
        <w:ind w:left="567" w:right="567"/>
        <w:jc w:val="both"/>
        <w:rPr>
          <w:noProof/>
          <w:color w:val="000000"/>
          <w:lang w:val="en-US"/>
        </w:rPr>
      </w:pPr>
      <w:r w:rsidRPr="00AC42E5">
        <w:rPr>
          <w:noProof/>
          <w:color w:val="000000"/>
          <w:lang w:val="en-US"/>
        </w:rPr>
        <w:t xml:space="preserve"> </w:t>
      </w:r>
    </w:p>
    <w:p w:rsidR="00885E46" w:rsidRPr="00AC42E5" w:rsidRDefault="00885E46" w:rsidP="000C0831">
      <w:pPr>
        <w:ind w:left="567" w:right="567"/>
        <w:jc w:val="both"/>
        <w:rPr>
          <w:noProof/>
          <w:color w:val="000000"/>
          <w:lang w:val="en-US"/>
        </w:rPr>
      </w:pPr>
    </w:p>
    <w:p w:rsidR="00885E46" w:rsidRPr="00885E46" w:rsidRDefault="00885E46" w:rsidP="00885E46">
      <w:pPr>
        <w:jc w:val="both"/>
        <w:rPr>
          <w:b/>
          <w:lang w:val="en-US"/>
        </w:rPr>
      </w:pPr>
      <w:r w:rsidRPr="00885E46">
        <w:rPr>
          <w:b/>
          <w:lang w:val="en-US"/>
        </w:rPr>
        <w:t>Introduction</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 xml:space="preserve">Analysis of financial statements using fundamental analysis helps us determine intrinsic value of the business, and help us determine the value of stocks issued by publicly traded companies. In the short run, there might be a number of factors that influence supply and demand for a particular stock, however in the long run; fundamental indicators are a primary determinant of a market capitalization of a business, and thus its share price. Thus, some authors like </w:t>
      </w:r>
      <w:proofErr w:type="spellStart"/>
      <w:r w:rsidRPr="00885E46">
        <w:rPr>
          <w:lang w:val="en-US"/>
        </w:rPr>
        <w:t>Banz</w:t>
      </w:r>
      <w:proofErr w:type="spellEnd"/>
      <w:r w:rsidRPr="00885E46">
        <w:rPr>
          <w:lang w:val="en-US"/>
        </w:rPr>
        <w:t xml:space="preserve"> (1981) or </w:t>
      </w:r>
      <w:proofErr w:type="spellStart"/>
      <w:r w:rsidRPr="00885E46">
        <w:rPr>
          <w:lang w:val="en-US"/>
        </w:rPr>
        <w:t>Fama</w:t>
      </w:r>
      <w:proofErr w:type="spellEnd"/>
      <w:r w:rsidRPr="00885E46">
        <w:rPr>
          <w:lang w:val="en-US"/>
        </w:rPr>
        <w:t xml:space="preserve"> (1970) suggest that companies with low P/BV ratio (price to book value) achieved significantly better results compared to companies with high P/BV ratio. Their research indicates that companies in the bottom tenth of the P/BV ratios have outperformed on average by one percent per month in terms of stock price change, </w:t>
      </w:r>
      <w:r w:rsidRPr="00885E46">
        <w:rPr>
          <w:lang w:val="en-US"/>
        </w:rPr>
        <w:lastRenderedPageBreak/>
        <w:t>companies that were in the top ten percentile of value of P/BV ratios. One explanation for this situation is that companies with high P/BV ratio were overpriced and thus provided little return on investment. Some research (</w:t>
      </w:r>
      <w:proofErr w:type="spellStart"/>
      <w:r w:rsidRPr="00885E46">
        <w:rPr>
          <w:lang w:val="en-US"/>
        </w:rPr>
        <w:t>Michaely</w:t>
      </w:r>
      <w:proofErr w:type="spellEnd"/>
      <w:r w:rsidRPr="00885E46">
        <w:rPr>
          <w:lang w:val="en-US"/>
        </w:rPr>
        <w:t xml:space="preserve"> et al., 1995) shows that although initial market reaction is slow, the market does react significantly to the company's earnings information as represented by some fundamental indicators such as EPS (earnings per share).</w:t>
      </w:r>
    </w:p>
    <w:p w:rsidR="00885E46" w:rsidRPr="00885E46" w:rsidRDefault="00885E46" w:rsidP="00885E46">
      <w:pPr>
        <w:jc w:val="both"/>
        <w:rPr>
          <w:lang w:val="en-US"/>
        </w:rPr>
      </w:pPr>
      <w:r w:rsidRPr="00885E46">
        <w:rPr>
          <w:lang w:val="en-US"/>
        </w:rPr>
        <w:br/>
        <w:t xml:space="preserve">Other authors have demonstrated that the use of fundamental analysis can be used to determine stock price movement in the future, and thus achieve extraordinary returns, significantly higher than market average. Thus </w:t>
      </w:r>
      <w:proofErr w:type="spellStart"/>
      <w:r w:rsidRPr="00885E46">
        <w:rPr>
          <w:lang w:val="en-US"/>
        </w:rPr>
        <w:t>Ou</w:t>
      </w:r>
      <w:proofErr w:type="spellEnd"/>
      <w:r w:rsidRPr="00885E46">
        <w:rPr>
          <w:lang w:val="en-US"/>
        </w:rPr>
        <w:t xml:space="preserve"> and Penman (1989) used multivariate analysis of financial ratios; and by using statistical tools derived a composite indicator that predicts a change in the company's earnings and thus the movement of its stock. Other authors reached similar conclusions (Lev and </w:t>
      </w:r>
      <w:proofErr w:type="spellStart"/>
      <w:r w:rsidRPr="00885E46">
        <w:rPr>
          <w:lang w:val="en-US"/>
        </w:rPr>
        <w:t>Thiagarajan</w:t>
      </w:r>
      <w:proofErr w:type="spellEnd"/>
      <w:r w:rsidRPr="00885E46">
        <w:rPr>
          <w:lang w:val="en-US"/>
        </w:rPr>
        <w:t xml:space="preserve">, 1993), while </w:t>
      </w:r>
      <w:proofErr w:type="spellStart"/>
      <w:r w:rsidRPr="00885E46">
        <w:rPr>
          <w:lang w:val="en-US"/>
        </w:rPr>
        <w:t>Abarbanell</w:t>
      </w:r>
      <w:proofErr w:type="spellEnd"/>
      <w:r w:rsidRPr="00885E46">
        <w:rPr>
          <w:lang w:val="en-US"/>
        </w:rPr>
        <w:t xml:space="preserve"> and Bushy (1998) as well as </w:t>
      </w:r>
      <w:proofErr w:type="spellStart"/>
      <w:r w:rsidRPr="00885E46">
        <w:rPr>
          <w:lang w:val="en-US"/>
        </w:rPr>
        <w:t>Piotrski</w:t>
      </w:r>
      <w:proofErr w:type="spellEnd"/>
      <w:r w:rsidRPr="00885E46">
        <w:rPr>
          <w:lang w:val="en-US"/>
        </w:rPr>
        <w:t xml:space="preserve"> (2000) successfully determined which companies will have above average stock returns as well as those that will underperform the market, by using financial statements and fundamental indicators.</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 xml:space="preserve">The purpose of this paper is to examine whether stock price of companies quoted on Sarajevo Stock Exchange is truly determined by the performance of the issuers, or we have other stock price determinants, such as speculative trading, being the driving force behind the change in value of securities. This is a critical issue to examine since small and relatively new exchanges such as Sarajevo Stock Exchange (SASE), are particularly vulnerable, and in a country with underdeveloped investor protection mechanisms and infrastructure, might lead to a loss of confidence in capital markets, thus perverting the purpose of those markets in a first place and reducing them to a forum for secondary exchange of securities. Events after 2007 peaks on Sarajevo Stock Exchange, and in particular </w:t>
      </w:r>
      <w:proofErr w:type="gramStart"/>
      <w:r w:rsidRPr="00885E46">
        <w:rPr>
          <w:lang w:val="en-US"/>
        </w:rPr>
        <w:t>its</w:t>
      </w:r>
      <w:proofErr w:type="gramEnd"/>
      <w:r w:rsidRPr="00885E46">
        <w:rPr>
          <w:lang w:val="en-US"/>
        </w:rPr>
        <w:t xml:space="preserve"> low trading volume, suggest that this might be taking place at the time.</w:t>
      </w:r>
    </w:p>
    <w:p w:rsidR="00885E46" w:rsidRPr="00885E46" w:rsidRDefault="00885E46" w:rsidP="00885E46">
      <w:pPr>
        <w:jc w:val="both"/>
        <w:rPr>
          <w:lang w:val="en-US"/>
        </w:rPr>
      </w:pPr>
    </w:p>
    <w:p w:rsidR="00885E46" w:rsidRPr="00885E46" w:rsidRDefault="00885E46" w:rsidP="00885E46">
      <w:pPr>
        <w:jc w:val="both"/>
        <w:rPr>
          <w:b/>
          <w:lang w:val="en-US"/>
        </w:rPr>
      </w:pPr>
      <w:r w:rsidRPr="00885E46">
        <w:rPr>
          <w:b/>
          <w:lang w:val="en-US"/>
        </w:rPr>
        <w:t>Methodology</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In order to determine whether the performance of a business is reflected in the stock price change on Sarajevo Stock Exchange we will analyze financial reports of selected companies, determine fundamental indicators, and examine if there is a correlation between a change in fundamental indicators and corresponding share price traded on SASE. The following selection criteria were used to select 10 companies examined in this paper: corporate shares were traded during the entire period examined in the paper, that is from 2003 to 2008; during this period, shares were traded during at least 250 trading days; at least 10% of the total shared issued by the company changed owners during that period, excluding the initial registration of shares; the company was listed in year 2002; market capitalization is over  KM 30,000,000.00 in 2008; the companies were registered at least five years prior to being listed on SASE.</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 xml:space="preserve">Using the above mentioned criteria, I selected the following 10 companies for the research sample: </w:t>
      </w:r>
      <w:proofErr w:type="spellStart"/>
      <w:r w:rsidRPr="00885E46">
        <w:rPr>
          <w:lang w:val="en-US"/>
        </w:rPr>
        <w:t>Bosnalijek</w:t>
      </w:r>
      <w:proofErr w:type="spellEnd"/>
      <w:r w:rsidRPr="00885E46">
        <w:rPr>
          <w:lang w:val="en-US"/>
        </w:rPr>
        <w:t xml:space="preserve"> </w:t>
      </w:r>
      <w:proofErr w:type="spellStart"/>
      <w:r w:rsidRPr="00885E46">
        <w:rPr>
          <w:lang w:val="en-US"/>
        </w:rPr>
        <w:t>dd</w:t>
      </w:r>
      <w:proofErr w:type="spellEnd"/>
      <w:r w:rsidRPr="00885E46">
        <w:rPr>
          <w:lang w:val="en-US"/>
        </w:rPr>
        <w:t xml:space="preserve">, BH Telecom </w:t>
      </w:r>
      <w:proofErr w:type="spellStart"/>
      <w:r w:rsidRPr="00885E46">
        <w:rPr>
          <w:lang w:val="en-US"/>
        </w:rPr>
        <w:t>dd</w:t>
      </w:r>
      <w:proofErr w:type="spellEnd"/>
      <w:r w:rsidRPr="00885E46">
        <w:rPr>
          <w:lang w:val="en-US"/>
        </w:rPr>
        <w:t xml:space="preserve">, </w:t>
      </w:r>
      <w:proofErr w:type="spellStart"/>
      <w:r w:rsidRPr="00885E46">
        <w:rPr>
          <w:lang w:val="en-US"/>
        </w:rPr>
        <w:t>Hidrogradnja</w:t>
      </w:r>
      <w:proofErr w:type="spellEnd"/>
      <w:r w:rsidRPr="00885E46">
        <w:rPr>
          <w:lang w:val="en-US"/>
        </w:rPr>
        <w:t xml:space="preserve"> </w:t>
      </w:r>
      <w:proofErr w:type="spellStart"/>
      <w:r w:rsidRPr="00885E46">
        <w:rPr>
          <w:lang w:val="en-US"/>
        </w:rPr>
        <w:t>dd</w:t>
      </w:r>
      <w:proofErr w:type="spellEnd"/>
      <w:r w:rsidRPr="00885E46">
        <w:rPr>
          <w:lang w:val="en-US"/>
        </w:rPr>
        <w:t xml:space="preserve">, </w:t>
      </w:r>
      <w:proofErr w:type="spellStart"/>
      <w:r w:rsidRPr="00885E46">
        <w:rPr>
          <w:lang w:val="en-US"/>
        </w:rPr>
        <w:t>Elektroprivreda</w:t>
      </w:r>
      <w:proofErr w:type="spellEnd"/>
      <w:r w:rsidRPr="00885E46">
        <w:rPr>
          <w:lang w:val="en-US"/>
        </w:rPr>
        <w:t xml:space="preserve"> </w:t>
      </w:r>
      <w:proofErr w:type="spellStart"/>
      <w:r w:rsidRPr="00885E46">
        <w:rPr>
          <w:lang w:val="en-US"/>
        </w:rPr>
        <w:t>BiH</w:t>
      </w:r>
      <w:proofErr w:type="spellEnd"/>
      <w:r w:rsidRPr="00885E46">
        <w:rPr>
          <w:lang w:val="en-US"/>
        </w:rPr>
        <w:t xml:space="preserve"> </w:t>
      </w:r>
      <w:proofErr w:type="spellStart"/>
      <w:r w:rsidRPr="00885E46">
        <w:rPr>
          <w:lang w:val="en-US"/>
        </w:rPr>
        <w:t>dd</w:t>
      </w:r>
      <w:proofErr w:type="spellEnd"/>
      <w:r w:rsidRPr="00885E46">
        <w:rPr>
          <w:lang w:val="en-US"/>
        </w:rPr>
        <w:t xml:space="preserve">, </w:t>
      </w:r>
      <w:proofErr w:type="spellStart"/>
      <w:r w:rsidRPr="00885E46">
        <w:rPr>
          <w:lang w:val="en-US"/>
        </w:rPr>
        <w:t>Elektroprivreda</w:t>
      </w:r>
      <w:proofErr w:type="spellEnd"/>
      <w:r w:rsidRPr="00885E46">
        <w:rPr>
          <w:lang w:val="en-US"/>
        </w:rPr>
        <w:t xml:space="preserve"> HZ HB </w:t>
      </w:r>
      <w:proofErr w:type="spellStart"/>
      <w:r w:rsidRPr="00885E46">
        <w:rPr>
          <w:lang w:val="en-US"/>
        </w:rPr>
        <w:t>dd</w:t>
      </w:r>
      <w:proofErr w:type="spellEnd"/>
      <w:r w:rsidRPr="00885E46">
        <w:rPr>
          <w:lang w:val="en-US"/>
        </w:rPr>
        <w:t xml:space="preserve">, </w:t>
      </w:r>
      <w:proofErr w:type="spellStart"/>
      <w:r w:rsidRPr="00885E46">
        <w:rPr>
          <w:lang w:val="en-US"/>
        </w:rPr>
        <w:t>Klas</w:t>
      </w:r>
      <w:proofErr w:type="spellEnd"/>
      <w:r w:rsidRPr="00885E46">
        <w:rPr>
          <w:lang w:val="en-US"/>
        </w:rPr>
        <w:t xml:space="preserve"> </w:t>
      </w:r>
      <w:proofErr w:type="spellStart"/>
      <w:r w:rsidRPr="00885E46">
        <w:rPr>
          <w:lang w:val="en-US"/>
        </w:rPr>
        <w:t>dd</w:t>
      </w:r>
      <w:proofErr w:type="spellEnd"/>
      <w:r w:rsidRPr="00885E46">
        <w:rPr>
          <w:lang w:val="en-US"/>
        </w:rPr>
        <w:t xml:space="preserve">, </w:t>
      </w:r>
      <w:proofErr w:type="spellStart"/>
      <w:r w:rsidRPr="00885E46">
        <w:rPr>
          <w:lang w:val="en-US"/>
        </w:rPr>
        <w:t>Vranica</w:t>
      </w:r>
      <w:proofErr w:type="spellEnd"/>
      <w:r w:rsidRPr="00885E46">
        <w:rPr>
          <w:lang w:val="en-US"/>
        </w:rPr>
        <w:t xml:space="preserve"> </w:t>
      </w:r>
      <w:proofErr w:type="spellStart"/>
      <w:r w:rsidRPr="00885E46">
        <w:rPr>
          <w:lang w:val="en-US"/>
        </w:rPr>
        <w:t>dd</w:t>
      </w:r>
      <w:proofErr w:type="spellEnd"/>
      <w:r w:rsidRPr="00885E46">
        <w:rPr>
          <w:lang w:val="en-US"/>
        </w:rPr>
        <w:t xml:space="preserve">, </w:t>
      </w:r>
      <w:proofErr w:type="spellStart"/>
      <w:r w:rsidRPr="00885E46">
        <w:rPr>
          <w:lang w:val="en-US"/>
        </w:rPr>
        <w:t>Vispak</w:t>
      </w:r>
      <w:proofErr w:type="spellEnd"/>
      <w:r w:rsidRPr="00885E46">
        <w:rPr>
          <w:lang w:val="en-US"/>
        </w:rPr>
        <w:t xml:space="preserve"> </w:t>
      </w:r>
      <w:proofErr w:type="spellStart"/>
      <w:r w:rsidRPr="00885E46">
        <w:rPr>
          <w:lang w:val="en-US"/>
        </w:rPr>
        <w:t>dd</w:t>
      </w:r>
      <w:proofErr w:type="spellEnd"/>
      <w:r w:rsidRPr="00885E46">
        <w:rPr>
          <w:lang w:val="en-US"/>
        </w:rPr>
        <w:t xml:space="preserve">, </w:t>
      </w:r>
      <w:proofErr w:type="spellStart"/>
      <w:r w:rsidRPr="00885E46">
        <w:rPr>
          <w:lang w:val="en-US"/>
        </w:rPr>
        <w:t>Šipad</w:t>
      </w:r>
      <w:proofErr w:type="spellEnd"/>
      <w:r w:rsidRPr="00885E46">
        <w:rPr>
          <w:lang w:val="en-US"/>
        </w:rPr>
        <w:t xml:space="preserve"> Commerce </w:t>
      </w:r>
      <w:proofErr w:type="spellStart"/>
      <w:r w:rsidRPr="00885E46">
        <w:rPr>
          <w:lang w:val="en-US"/>
        </w:rPr>
        <w:t>dd</w:t>
      </w:r>
      <w:proofErr w:type="spellEnd"/>
      <w:r w:rsidRPr="00885E46">
        <w:rPr>
          <w:lang w:val="en-US"/>
        </w:rPr>
        <w:t xml:space="preserve"> </w:t>
      </w:r>
      <w:proofErr w:type="gramStart"/>
      <w:r w:rsidRPr="00885E46">
        <w:rPr>
          <w:lang w:val="en-US"/>
        </w:rPr>
        <w:t xml:space="preserve">and  </w:t>
      </w:r>
      <w:proofErr w:type="spellStart"/>
      <w:r w:rsidRPr="00885E46">
        <w:rPr>
          <w:lang w:val="en-US"/>
        </w:rPr>
        <w:t>Bihaćka</w:t>
      </w:r>
      <w:proofErr w:type="spellEnd"/>
      <w:proofErr w:type="gramEnd"/>
      <w:r w:rsidRPr="00885E46">
        <w:rPr>
          <w:lang w:val="en-US"/>
        </w:rPr>
        <w:t xml:space="preserve"> </w:t>
      </w:r>
      <w:proofErr w:type="spellStart"/>
      <w:r w:rsidRPr="00885E46">
        <w:rPr>
          <w:lang w:val="en-US"/>
        </w:rPr>
        <w:t>Pivovara</w:t>
      </w:r>
      <w:proofErr w:type="spellEnd"/>
      <w:r w:rsidRPr="00885E46">
        <w:rPr>
          <w:lang w:val="en-US"/>
        </w:rPr>
        <w:t xml:space="preserve"> dd. The selected companies are the leaders in their industry sector in Bosnia, significantly exceed the selection criteria, are well known and established in the region in various industries such as construction, telecommunications, food industry, timber industry and the energy sector.</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lastRenderedPageBreak/>
        <w:t xml:space="preserve">Fundamental indicators will be calculated, for a period from 2003 to 2008, as well as their mean, standard deviation and percentage deviation. The indicators will be divided in two groups, those that are share price independent and those that are share price dependent. The first group of ratios consists of ROE (return on equity), ROA (return on assets), BVPS (book value per share), </w:t>
      </w:r>
      <w:proofErr w:type="gramStart"/>
      <w:r w:rsidRPr="00885E46">
        <w:rPr>
          <w:lang w:val="en-US"/>
        </w:rPr>
        <w:t>EPS</w:t>
      </w:r>
      <w:proofErr w:type="gramEnd"/>
      <w:r w:rsidRPr="00885E46">
        <w:rPr>
          <w:lang w:val="en-US"/>
        </w:rPr>
        <w:t xml:space="preserve"> (Earnings per share) as well as asset (ATO) and equity turnover (ETO) ratios. The second group of indicators consists of </w:t>
      </w:r>
      <w:proofErr w:type="spellStart"/>
      <w:r w:rsidRPr="00885E46">
        <w:rPr>
          <w:lang w:val="en-US"/>
        </w:rPr>
        <w:t>MkCap</w:t>
      </w:r>
      <w:proofErr w:type="spellEnd"/>
      <w:r w:rsidRPr="00885E46">
        <w:rPr>
          <w:lang w:val="en-US"/>
        </w:rPr>
        <w:t xml:space="preserve"> (market </w:t>
      </w:r>
      <w:proofErr w:type="spellStart"/>
      <w:r w:rsidRPr="00885E46">
        <w:rPr>
          <w:lang w:val="en-US"/>
        </w:rPr>
        <w:t>capitalisation</w:t>
      </w:r>
      <w:proofErr w:type="spellEnd"/>
      <w:r w:rsidRPr="00885E46">
        <w:rPr>
          <w:lang w:val="en-US"/>
        </w:rPr>
        <w:t xml:space="preserve"> in absolute terms), P/</w:t>
      </w:r>
      <w:proofErr w:type="spellStart"/>
      <w:r w:rsidRPr="00885E46">
        <w:rPr>
          <w:lang w:val="en-US"/>
        </w:rPr>
        <w:t>Bv</w:t>
      </w:r>
      <w:proofErr w:type="spellEnd"/>
      <w:r w:rsidRPr="00885E46">
        <w:rPr>
          <w:lang w:val="en-US"/>
        </w:rPr>
        <w:t xml:space="preserve"> (price over book value, P/S (price over sales) and P/E (price over earnings) ratios. This will enable us to have a set of ratios whose percentage deviation should be correlated between two sets, if share price change is correlated with fundamental indicator </w:t>
      </w:r>
      <w:proofErr w:type="gramStart"/>
      <w:r w:rsidRPr="00885E46">
        <w:rPr>
          <w:lang w:val="en-US"/>
        </w:rPr>
        <w:t>change, that</w:t>
      </w:r>
      <w:proofErr w:type="gramEnd"/>
      <w:r w:rsidRPr="00885E46">
        <w:rPr>
          <w:lang w:val="en-US"/>
        </w:rPr>
        <w:t xml:space="preserve"> is with the corporate performance. The indicators will be indexed, with year 2003 being a base year with index 1. The next step is to calculate correlation index between a set of indicators and stock price change, in order to determine if there is a linear relationship between the change in fundamental indicators and share price change:</w:t>
      </w:r>
    </w:p>
    <w:p w:rsidR="00885E46" w:rsidRPr="00885E46" w:rsidRDefault="00885E46" w:rsidP="00885E46">
      <w:pPr>
        <w:jc w:val="both"/>
        <w:rPr>
          <w:lang w:val="en-US"/>
        </w:rPr>
      </w:pPr>
    </w:p>
    <w:p w:rsidR="00885E46" w:rsidRPr="00885E46" w:rsidRDefault="00885E46" w:rsidP="00885E46">
      <w:pPr>
        <w:jc w:val="both"/>
        <w:rPr>
          <w:lang w:val="en-US"/>
        </w:rPr>
      </w:pPr>
      <w:r w:rsidRPr="00885E46">
        <w:rPr>
          <w:noProof/>
          <w:lang w:val="en-US" w:eastAsia="en-US"/>
        </w:rPr>
        <w:drawing>
          <wp:inline distT="0" distB="0" distL="0" distR="0" wp14:anchorId="27103099" wp14:editId="332513C2">
            <wp:extent cx="4676775" cy="438150"/>
            <wp:effectExtent l="19050" t="0" r="9525" b="0"/>
            <wp:docPr id="2" name="Slika 1" descr="\rho_{X,Y}=\mathrm{corr}(X,Y)={\mathrm{cov}(X,Y) \over \sigma_X \sigma_Y} ={E[(X-\mu_X)(Y-\mu_Y)] \over \sigma_X\sigma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_{X,Y}=\mathrm{corr}(X,Y)={\mathrm{cov}(X,Y) \over \sigma_X \sigma_Y} ={E[(X-\mu_X)(Y-\mu_Y)] \over \sigma_X\sigma_Y},"/>
                    <pic:cNvPicPr>
                      <a:picLocks noChangeAspect="1" noChangeArrowheads="1"/>
                    </pic:cNvPicPr>
                  </pic:nvPicPr>
                  <pic:blipFill>
                    <a:blip r:embed="rId8"/>
                    <a:srcRect/>
                    <a:stretch>
                      <a:fillRect/>
                    </a:stretch>
                  </pic:blipFill>
                  <pic:spPr bwMode="auto">
                    <a:xfrm>
                      <a:off x="0" y="0"/>
                      <a:ext cx="4676775" cy="438150"/>
                    </a:xfrm>
                    <a:prstGeom prst="rect">
                      <a:avLst/>
                    </a:prstGeom>
                    <a:noFill/>
                    <a:ln w="9525">
                      <a:noFill/>
                      <a:miter lim="800000"/>
                      <a:headEnd/>
                      <a:tailEnd/>
                    </a:ln>
                  </pic:spPr>
                </pic:pic>
              </a:graphicData>
            </a:graphic>
          </wp:inline>
        </w:drawing>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High correlation index would suggest causal relationship between the stock price change and a change in fundamental ratios, which represent corporate performance.</w:t>
      </w:r>
    </w:p>
    <w:p w:rsidR="00885E46" w:rsidRPr="00885E46" w:rsidRDefault="00885E46" w:rsidP="00885E46">
      <w:pPr>
        <w:jc w:val="both"/>
        <w:rPr>
          <w:lang w:val="en-US"/>
        </w:rPr>
      </w:pPr>
    </w:p>
    <w:p w:rsidR="00885E46" w:rsidRPr="00885E46" w:rsidRDefault="00885E46" w:rsidP="00885E46">
      <w:pPr>
        <w:jc w:val="both"/>
        <w:rPr>
          <w:b/>
          <w:lang w:val="en-US"/>
        </w:rPr>
      </w:pPr>
      <w:r w:rsidRPr="00885E46">
        <w:rPr>
          <w:b/>
          <w:lang w:val="en-US"/>
        </w:rPr>
        <w:t>Results</w:t>
      </w:r>
    </w:p>
    <w:p w:rsidR="00885E46" w:rsidRPr="00885E46" w:rsidRDefault="00885E46" w:rsidP="00885E46">
      <w:pPr>
        <w:jc w:val="both"/>
        <w:rPr>
          <w:b/>
          <w:lang w:val="en-US"/>
        </w:rPr>
      </w:pPr>
    </w:p>
    <w:p w:rsidR="00885E46" w:rsidRPr="00885E46" w:rsidRDefault="00885E46" w:rsidP="00885E46">
      <w:pPr>
        <w:jc w:val="both"/>
        <w:rPr>
          <w:lang w:val="en-US"/>
        </w:rPr>
      </w:pPr>
      <w:r w:rsidRPr="00885E46">
        <w:rPr>
          <w:lang w:val="en-US"/>
        </w:rPr>
        <w:t xml:space="preserve">Since this analysis has generated a significant amount of data, which would consume significant amount of space, only relevant derived data will be presented. </w:t>
      </w:r>
    </w:p>
    <w:p w:rsidR="00885E46" w:rsidRP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Default="00885E46" w:rsidP="00885E46">
      <w:pPr>
        <w:jc w:val="both"/>
        <w:rPr>
          <w:lang w:val="en-US"/>
        </w:rPr>
      </w:pPr>
    </w:p>
    <w:p w:rsidR="00885E46" w:rsidRPr="00885E46" w:rsidRDefault="00885E46" w:rsidP="00885E46">
      <w:pPr>
        <w:jc w:val="both"/>
        <w:rPr>
          <w:lang w:val="en-US"/>
        </w:rPr>
      </w:pPr>
    </w:p>
    <w:p w:rsidR="00885E46" w:rsidRPr="00885E46" w:rsidRDefault="00885E46" w:rsidP="00885E46">
      <w:pPr>
        <w:jc w:val="center"/>
        <w:rPr>
          <w:lang w:val="en-US"/>
        </w:rPr>
      </w:pPr>
      <w:r w:rsidRPr="00885E46">
        <w:rPr>
          <w:b/>
          <w:lang w:val="en-US"/>
        </w:rPr>
        <w:lastRenderedPageBreak/>
        <w:t>Table 1:</w:t>
      </w:r>
      <w:r w:rsidRPr="00885E46">
        <w:rPr>
          <w:lang w:val="en-US"/>
        </w:rPr>
        <w:t xml:space="preserve"> Indices of price dependent and price independent ratio change in a period of 2003-2008, with 2003 being a base year, for selected publicly traded companies on SASE</w:t>
      </w:r>
    </w:p>
    <w:tbl>
      <w:tblPr>
        <w:tblW w:w="8880" w:type="dxa"/>
        <w:tblInd w:w="93" w:type="dxa"/>
        <w:tblLook w:val="0000" w:firstRow="0" w:lastRow="0" w:firstColumn="0" w:lastColumn="0" w:noHBand="0" w:noVBand="0"/>
      </w:tblPr>
      <w:tblGrid>
        <w:gridCol w:w="430"/>
        <w:gridCol w:w="794"/>
        <w:gridCol w:w="726"/>
        <w:gridCol w:w="685"/>
        <w:gridCol w:w="1014"/>
        <w:gridCol w:w="726"/>
        <w:gridCol w:w="685"/>
        <w:gridCol w:w="1014"/>
        <w:gridCol w:w="808"/>
        <w:gridCol w:w="899"/>
        <w:gridCol w:w="1129"/>
      </w:tblGrid>
      <w:tr w:rsidR="00885E46" w:rsidRPr="00885E46" w:rsidTr="00766E8D">
        <w:trPr>
          <w:trHeight w:val="255"/>
        </w:trPr>
        <w:tc>
          <w:tcPr>
            <w:tcW w:w="38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bookmarkStart w:id="2" w:name="RANGE!C5:J64"/>
            <w:bookmarkEnd w:id="2"/>
          </w:p>
        </w:tc>
        <w:tc>
          <w:tcPr>
            <w:tcW w:w="700" w:type="dxa"/>
            <w:tcBorders>
              <w:top w:val="single" w:sz="8" w:space="0" w:color="auto"/>
              <w:left w:val="single" w:sz="8"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Bosnalijek</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BH Telecom </w:t>
            </w:r>
            <w:proofErr w:type="spellStart"/>
            <w:r w:rsidRPr="00885E46">
              <w:rPr>
                <w:b/>
                <w:bCs/>
                <w:sz w:val="18"/>
                <w:szCs w:val="18"/>
                <w:lang w:val="en-US"/>
              </w:rPr>
              <w:t>d.d</w:t>
            </w:r>
            <w:proofErr w:type="spellEnd"/>
            <w:r w:rsidRPr="00885E46">
              <w:rPr>
                <w:b/>
                <w:bCs/>
                <w:sz w:val="18"/>
                <w:szCs w:val="18"/>
                <w:lang w:val="en-US"/>
              </w:rPr>
              <w:t>.</w:t>
            </w:r>
          </w:p>
        </w:tc>
        <w:tc>
          <w:tcPr>
            <w:tcW w:w="2880"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Vispak</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r>
      <w:tr w:rsidR="00885E46" w:rsidRPr="00885E46" w:rsidTr="00766E8D">
        <w:trPr>
          <w:trHeight w:val="255"/>
        </w:trPr>
        <w:tc>
          <w:tcPr>
            <w:tcW w:w="38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700" w:type="dxa"/>
            <w:tcBorders>
              <w:top w:val="nil"/>
              <w:left w:val="single" w:sz="8"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StDev</w:t>
            </w:r>
            <w:proofErr w:type="spellEnd"/>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Mean</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 </w:t>
            </w:r>
            <w:proofErr w:type="spellStart"/>
            <w:r w:rsidRPr="00885E46">
              <w:rPr>
                <w:b/>
                <w:bCs/>
                <w:sz w:val="18"/>
                <w:szCs w:val="18"/>
                <w:lang w:val="en-US"/>
              </w:rPr>
              <w:t>Dev</w:t>
            </w:r>
            <w:proofErr w:type="spellEnd"/>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StDev</w:t>
            </w:r>
            <w:proofErr w:type="spellEnd"/>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Mean</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 </w:t>
            </w:r>
            <w:proofErr w:type="spellStart"/>
            <w:r w:rsidRPr="00885E46">
              <w:rPr>
                <w:b/>
                <w:bCs/>
                <w:sz w:val="18"/>
                <w:szCs w:val="18"/>
                <w:lang w:val="en-US"/>
              </w:rPr>
              <w:t>Dev</w:t>
            </w:r>
            <w:proofErr w:type="spellEnd"/>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StDev</w:t>
            </w:r>
            <w:proofErr w:type="spellEnd"/>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Mean</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 </w:t>
            </w:r>
            <w:proofErr w:type="spellStart"/>
            <w:r w:rsidRPr="00885E46">
              <w:rPr>
                <w:b/>
                <w:bCs/>
                <w:sz w:val="18"/>
                <w:szCs w:val="18"/>
                <w:lang w:val="en-US"/>
              </w:rPr>
              <w:t>Dev</w:t>
            </w:r>
            <w:proofErr w:type="spellEnd"/>
          </w:p>
        </w:tc>
      </w:tr>
      <w:tr w:rsidR="00885E46" w:rsidRPr="00885E46" w:rsidTr="00766E8D">
        <w:trPr>
          <w:trHeight w:val="255"/>
        </w:trPr>
        <w:tc>
          <w:tcPr>
            <w:tcW w:w="380" w:type="dxa"/>
            <w:vMerge w:val="restart"/>
            <w:tcBorders>
              <w:top w:val="single" w:sz="4" w:space="0" w:color="auto"/>
              <w:left w:val="single" w:sz="8" w:space="0" w:color="auto"/>
              <w:bottom w:val="single" w:sz="4" w:space="0" w:color="auto"/>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independent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ROE</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0.088</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0.953</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9.29%</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0.087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0.962</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9.00%</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0.784</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-0.110</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-712.52%</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ROA</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0.106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0.831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12.73%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0.076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0.898</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8.51%</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0.732</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-0.082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-895.41%</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BVPS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0.165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1.234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13.33%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0.084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1.139</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7.36%</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0.020</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0.979</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1.99%</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0.136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1.170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11.65%</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0.071</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1.091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6.54%</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0.769</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-0.101</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-759.15%</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ETO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0.060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1.067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5.58%</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0.043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0.951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4.57%</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0.117</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1.080</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10.80%</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ATO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0.081</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0.930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8.73%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0.065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0.889</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7.33%</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0.040</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0.972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4.16%</w:t>
            </w:r>
          </w:p>
        </w:tc>
      </w:tr>
      <w:tr w:rsidR="00885E46" w:rsidRPr="00885E46" w:rsidTr="00766E8D">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MkCap</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3.030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4.692</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64.59%</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1.476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2.781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53.09%</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2.107</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3.420</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61.62%</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P/</w:t>
            </w:r>
            <w:proofErr w:type="spellStart"/>
            <w:r w:rsidRPr="00885E46">
              <w:rPr>
                <w:b/>
                <w:bCs/>
                <w:sz w:val="18"/>
                <w:szCs w:val="18"/>
                <w:lang w:val="en-US"/>
              </w:rPr>
              <w:t>Bv</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1.996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3.443</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57.96%</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1.199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2.396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50.03%</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2.210</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3.519</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62.82%</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1.937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3.231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59.94%</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1.267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2.537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49.96%</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1.817</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3.194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56.88%</w:t>
            </w:r>
          </w:p>
        </w:tc>
      </w:tr>
      <w:tr w:rsidR="00885E46" w:rsidRPr="00885E46" w:rsidTr="00766E8D">
        <w:trPr>
          <w:trHeight w:val="270"/>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P/E </w:t>
            </w:r>
          </w:p>
        </w:tc>
        <w:tc>
          <w:tcPr>
            <w:tcW w:w="736"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2.320</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3.717</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62.41%</w:t>
            </w:r>
          </w:p>
        </w:tc>
        <w:tc>
          <w:tcPr>
            <w:tcW w:w="736"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1.370</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2.550</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53.74%</w:t>
            </w:r>
          </w:p>
        </w:tc>
        <w:tc>
          <w:tcPr>
            <w:tcW w:w="820"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23.269</w:t>
            </w:r>
          </w:p>
        </w:tc>
        <w:tc>
          <w:tcPr>
            <w:tcW w:w="913"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15.642</w:t>
            </w:r>
          </w:p>
        </w:tc>
        <w:tc>
          <w:tcPr>
            <w:tcW w:w="1147"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148.76%</w:t>
            </w:r>
          </w:p>
        </w:tc>
      </w:tr>
      <w:tr w:rsidR="00885E46" w:rsidRPr="00885E46" w:rsidTr="00766E8D">
        <w:trPr>
          <w:trHeight w:val="255"/>
        </w:trPr>
        <w:tc>
          <w:tcPr>
            <w:tcW w:w="38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700" w:type="dxa"/>
            <w:tcBorders>
              <w:top w:val="nil"/>
              <w:left w:val="single" w:sz="8"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JP </w:t>
            </w:r>
            <w:proofErr w:type="spellStart"/>
            <w:r w:rsidRPr="00885E46">
              <w:rPr>
                <w:b/>
                <w:bCs/>
                <w:sz w:val="18"/>
                <w:szCs w:val="18"/>
                <w:lang w:val="en-US"/>
              </w:rPr>
              <w:t>Elektroprivreda</w:t>
            </w:r>
            <w:proofErr w:type="spellEnd"/>
            <w:r w:rsidRPr="00885E46">
              <w:rPr>
                <w:b/>
                <w:bCs/>
                <w:sz w:val="18"/>
                <w:szCs w:val="18"/>
                <w:lang w:val="en-US"/>
              </w:rPr>
              <w:t xml:space="preserve"> </w:t>
            </w:r>
            <w:proofErr w:type="spellStart"/>
            <w:r w:rsidRPr="00885E46">
              <w:rPr>
                <w:b/>
                <w:bCs/>
                <w:sz w:val="18"/>
                <w:szCs w:val="18"/>
                <w:lang w:val="en-US"/>
              </w:rPr>
              <w:t>BiH</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c>
          <w:tcPr>
            <w:tcW w:w="2460" w:type="dxa"/>
            <w:gridSpan w:val="3"/>
            <w:tcBorders>
              <w:top w:val="single" w:sz="8" w:space="0" w:color="auto"/>
              <w:left w:val="single" w:sz="4" w:space="0" w:color="auto"/>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Elektorprivreda</w:t>
            </w:r>
            <w:proofErr w:type="spellEnd"/>
            <w:r w:rsidRPr="00885E46">
              <w:rPr>
                <w:b/>
                <w:bCs/>
                <w:sz w:val="18"/>
                <w:szCs w:val="18"/>
                <w:lang w:val="en-US"/>
              </w:rPr>
              <w:t xml:space="preserve"> HZHB </w:t>
            </w:r>
            <w:proofErr w:type="spellStart"/>
            <w:r w:rsidRPr="00885E46">
              <w:rPr>
                <w:b/>
                <w:bCs/>
                <w:sz w:val="18"/>
                <w:szCs w:val="18"/>
                <w:lang w:val="en-US"/>
              </w:rPr>
              <w:t>d.d</w:t>
            </w:r>
            <w:proofErr w:type="spellEnd"/>
            <w:r w:rsidRPr="00885E46">
              <w:rPr>
                <w:b/>
                <w:bCs/>
                <w:sz w:val="18"/>
                <w:szCs w:val="18"/>
                <w:lang w:val="en-US"/>
              </w:rPr>
              <w:t>.</w:t>
            </w:r>
          </w:p>
        </w:tc>
        <w:tc>
          <w:tcPr>
            <w:tcW w:w="288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Sipad</w:t>
            </w:r>
            <w:proofErr w:type="spellEnd"/>
            <w:r w:rsidRPr="00885E46">
              <w:rPr>
                <w:b/>
                <w:bCs/>
                <w:sz w:val="18"/>
                <w:szCs w:val="18"/>
                <w:lang w:val="en-US"/>
              </w:rPr>
              <w:t xml:space="preserve"> </w:t>
            </w:r>
            <w:proofErr w:type="spellStart"/>
            <w:r w:rsidRPr="00885E46">
              <w:rPr>
                <w:b/>
                <w:bCs/>
                <w:sz w:val="18"/>
                <w:szCs w:val="18"/>
                <w:lang w:val="en-US"/>
              </w:rPr>
              <w:t>Komerc</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r>
      <w:tr w:rsidR="00885E46" w:rsidRPr="00885E46" w:rsidTr="00766E8D">
        <w:trPr>
          <w:trHeight w:val="255"/>
        </w:trPr>
        <w:tc>
          <w:tcPr>
            <w:tcW w:w="380" w:type="dxa"/>
            <w:vMerge w:val="restart"/>
            <w:tcBorders>
              <w:top w:val="single" w:sz="4" w:space="0" w:color="auto"/>
              <w:left w:val="single" w:sz="8" w:space="0" w:color="auto"/>
              <w:bottom w:val="single" w:sz="4" w:space="0" w:color="auto"/>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independent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ROE</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0.896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-0.275</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-326.05%</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0.629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-0.497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-126.65%</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62.823</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-25.282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-248.49%</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ROA</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0.863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-0.274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-315.50%</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0.640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-0.514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-124.55%</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55.505</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-22.079</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-251.40%</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BVPS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0.049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0.924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5.33%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0.253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1.236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20.50%</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93.295</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86.254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108.16%</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0.841</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-0.283</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-296.53%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0.760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-0.627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-121.23%</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49.764</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-18.475</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-269.35%</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ETO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0.317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1.374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23.04%</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0.227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1.227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18.49%</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0.545</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0.444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122.61%</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ATO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0.300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1.348</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22.26%</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0.199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1.227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16.23%</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0.503</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0.506</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99.51%</w:t>
            </w:r>
          </w:p>
        </w:tc>
      </w:tr>
      <w:tr w:rsidR="00885E46" w:rsidRPr="00885E46" w:rsidTr="00766E8D">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MkCap</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1.540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2.174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70.84%</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2.664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3.351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79.50%</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6.249</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5.843</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106.94%</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P/</w:t>
            </w:r>
            <w:proofErr w:type="spellStart"/>
            <w:r w:rsidRPr="00885E46">
              <w:rPr>
                <w:b/>
                <w:bCs/>
                <w:sz w:val="18"/>
                <w:szCs w:val="18"/>
                <w:lang w:val="en-US"/>
              </w:rPr>
              <w:t>Bv</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1.812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2.424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74.75%</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2.161</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2.709</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79.78%</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1.070</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0.864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123.82%</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1.102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1.684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65.47%</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1.540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2.149</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71.64%</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6.131</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6.874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89.19%</w:t>
            </w:r>
          </w:p>
        </w:tc>
      </w:tr>
      <w:tr w:rsidR="00885E46" w:rsidRPr="00885E46" w:rsidTr="00766E8D">
        <w:trPr>
          <w:trHeight w:val="270"/>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P/E </w:t>
            </w:r>
          </w:p>
        </w:tc>
        <w:tc>
          <w:tcPr>
            <w:tcW w:w="736"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15.053</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8.494</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177.22%</w:t>
            </w:r>
          </w:p>
        </w:tc>
        <w:tc>
          <w:tcPr>
            <w:tcW w:w="736"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12.064</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-1.752</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-688.58%</w:t>
            </w:r>
          </w:p>
        </w:tc>
        <w:tc>
          <w:tcPr>
            <w:tcW w:w="820"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2.813</w:t>
            </w:r>
          </w:p>
        </w:tc>
        <w:tc>
          <w:tcPr>
            <w:tcW w:w="913"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2.740</w:t>
            </w:r>
          </w:p>
        </w:tc>
        <w:tc>
          <w:tcPr>
            <w:tcW w:w="1147"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102.65%</w:t>
            </w:r>
          </w:p>
        </w:tc>
      </w:tr>
      <w:tr w:rsidR="00885E46" w:rsidRPr="00885E46" w:rsidTr="00766E8D">
        <w:trPr>
          <w:trHeight w:val="255"/>
        </w:trPr>
        <w:tc>
          <w:tcPr>
            <w:tcW w:w="38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700" w:type="dxa"/>
            <w:tcBorders>
              <w:top w:val="nil"/>
              <w:left w:val="single" w:sz="8"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Hidrogradnja</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Bihacka</w:t>
            </w:r>
            <w:proofErr w:type="spellEnd"/>
            <w:r w:rsidRPr="00885E46">
              <w:rPr>
                <w:b/>
                <w:bCs/>
                <w:sz w:val="18"/>
                <w:szCs w:val="18"/>
                <w:lang w:val="en-US"/>
              </w:rPr>
              <w:t xml:space="preserve"> </w:t>
            </w:r>
            <w:proofErr w:type="spellStart"/>
            <w:r w:rsidRPr="00885E46">
              <w:rPr>
                <w:b/>
                <w:bCs/>
                <w:sz w:val="18"/>
                <w:szCs w:val="18"/>
                <w:lang w:val="en-US"/>
              </w:rPr>
              <w:t>Pivovara</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c>
          <w:tcPr>
            <w:tcW w:w="288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Vranica</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r>
      <w:tr w:rsidR="00885E46" w:rsidRPr="00885E46" w:rsidTr="00766E8D">
        <w:trPr>
          <w:trHeight w:val="255"/>
        </w:trPr>
        <w:tc>
          <w:tcPr>
            <w:tcW w:w="380" w:type="dxa"/>
            <w:vMerge w:val="restart"/>
            <w:tcBorders>
              <w:top w:val="single" w:sz="4" w:space="0" w:color="auto"/>
              <w:left w:val="single" w:sz="8" w:space="0" w:color="auto"/>
              <w:bottom w:val="single" w:sz="4" w:space="0" w:color="auto"/>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independent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ROE</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1.394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-0.343</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-406.50%</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0.492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1.376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35.79%</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29.729</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-10.014</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-296.88%</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ROA</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2.195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-0.731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-300.36%</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0.597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1.449</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41.19%</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41.478</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-13.905</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-298.30%</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BVPS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0.006</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0.991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0.58%</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0.192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1.257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15.27%</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1.047</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1.942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53.92%</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1.377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-0.337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-409.14%</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0.773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1.752</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44.11%</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73.219</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-26.027</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-281.32%</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ETO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0.192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0.695</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27.59%</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0.094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1.095</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8.55%</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0.423</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0.785</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53.88%</w:t>
            </w: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ATO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0.240</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0.945</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25.43%</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0.099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1.140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8.71%</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0.313</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0.962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32.50%</w:t>
            </w:r>
          </w:p>
        </w:tc>
      </w:tr>
      <w:tr w:rsidR="00885E46" w:rsidRPr="00885E46" w:rsidTr="00766E8D">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MkCap</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2.184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2.870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76.09%</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0.977</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2.212</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44.19%</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10.569</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8.457</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124.97%</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P/</w:t>
            </w:r>
            <w:proofErr w:type="spellStart"/>
            <w:r w:rsidRPr="00885E46">
              <w:rPr>
                <w:b/>
                <w:bCs/>
                <w:sz w:val="18"/>
                <w:szCs w:val="18"/>
                <w:lang w:val="en-US"/>
              </w:rPr>
              <w:t>Bv</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2.212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2.901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76.24%</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0.552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1.703</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32.40%</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3.243</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3.316</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97.78%</w:t>
            </w: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4.545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5.006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90.79%</w:t>
            </w:r>
          </w:p>
        </w:tc>
        <w:tc>
          <w:tcPr>
            <w:tcW w:w="736"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0.592</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1.576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37.60%</w:t>
            </w:r>
          </w:p>
        </w:tc>
        <w:tc>
          <w:tcPr>
            <w:tcW w:w="820" w:type="dxa"/>
            <w:tcBorders>
              <w:top w:val="nil"/>
              <w:left w:val="single" w:sz="4"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8.831</w:t>
            </w:r>
          </w:p>
        </w:tc>
        <w:tc>
          <w:tcPr>
            <w:tcW w:w="913"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7.062</w:t>
            </w:r>
          </w:p>
        </w:tc>
        <w:tc>
          <w:tcPr>
            <w:tcW w:w="1147"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125.05%</w:t>
            </w:r>
          </w:p>
        </w:tc>
      </w:tr>
      <w:tr w:rsidR="00885E46" w:rsidRPr="00885E46" w:rsidTr="00766E8D">
        <w:trPr>
          <w:trHeight w:val="270"/>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P/E </w:t>
            </w:r>
          </w:p>
        </w:tc>
        <w:tc>
          <w:tcPr>
            <w:tcW w:w="736"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9.394</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7.546</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124.49%</w:t>
            </w:r>
          </w:p>
        </w:tc>
        <w:tc>
          <w:tcPr>
            <w:tcW w:w="736"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0.507</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1.310</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38.71%</w:t>
            </w:r>
          </w:p>
        </w:tc>
        <w:tc>
          <w:tcPr>
            <w:tcW w:w="820" w:type="dxa"/>
            <w:tcBorders>
              <w:top w:val="nil"/>
              <w:left w:val="single" w:sz="4" w:space="0" w:color="auto"/>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1.358</w:t>
            </w:r>
          </w:p>
        </w:tc>
        <w:tc>
          <w:tcPr>
            <w:tcW w:w="913"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1.141</w:t>
            </w:r>
          </w:p>
        </w:tc>
        <w:tc>
          <w:tcPr>
            <w:tcW w:w="1147"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119.05%</w:t>
            </w:r>
          </w:p>
        </w:tc>
      </w:tr>
      <w:tr w:rsidR="00885E46" w:rsidRPr="00885E46" w:rsidTr="00766E8D">
        <w:trPr>
          <w:trHeight w:val="255"/>
        </w:trPr>
        <w:tc>
          <w:tcPr>
            <w:tcW w:w="38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700" w:type="dxa"/>
            <w:tcBorders>
              <w:top w:val="nil"/>
              <w:left w:val="single" w:sz="8" w:space="0" w:color="auto"/>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w:t>
            </w:r>
          </w:p>
        </w:tc>
        <w:tc>
          <w:tcPr>
            <w:tcW w:w="2460" w:type="dxa"/>
            <w:gridSpan w:val="3"/>
            <w:tcBorders>
              <w:top w:val="single" w:sz="8" w:space="0" w:color="auto"/>
              <w:left w:val="nil"/>
              <w:bottom w:val="single" w:sz="4" w:space="0" w:color="auto"/>
              <w:right w:val="single" w:sz="8" w:space="0" w:color="000000"/>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Klas</w:t>
            </w:r>
            <w:proofErr w:type="spellEnd"/>
            <w:r w:rsidRPr="00885E46">
              <w:rPr>
                <w:b/>
                <w:bCs/>
                <w:sz w:val="18"/>
                <w:szCs w:val="18"/>
                <w:lang w:val="en-US"/>
              </w:rPr>
              <w:t xml:space="preserve"> </w:t>
            </w:r>
            <w:proofErr w:type="spellStart"/>
            <w:r w:rsidRPr="00885E46">
              <w:rPr>
                <w:b/>
                <w:bCs/>
                <w:sz w:val="18"/>
                <w:szCs w:val="18"/>
                <w:lang w:val="en-US"/>
              </w:rPr>
              <w:t>d.d</w:t>
            </w:r>
            <w:proofErr w:type="spellEnd"/>
            <w:r w:rsidRPr="00885E46">
              <w:rPr>
                <w:b/>
                <w:bCs/>
                <w:sz w:val="18"/>
                <w:szCs w:val="18"/>
                <w:lang w:val="en-US"/>
              </w:rPr>
              <w:t>.</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val="restart"/>
            <w:tcBorders>
              <w:top w:val="single" w:sz="4" w:space="0" w:color="auto"/>
              <w:left w:val="single" w:sz="8" w:space="0" w:color="auto"/>
              <w:bottom w:val="single" w:sz="4" w:space="0" w:color="auto"/>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independent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ROE</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0.409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0.486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84.09%</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ROA</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0.404</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0.448</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90.29%</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BVPS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0.025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1.020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2.46%</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0.418</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0.497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84.08%</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ETO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0.113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1.091</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10.38%</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single" w:sz="4" w:space="0" w:color="auto"/>
              <w:left w:val="single" w:sz="8" w:space="0" w:color="auto"/>
              <w:bottom w:val="single" w:sz="4" w:space="0" w:color="auto"/>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ATO</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0.103</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0.927</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11.13%</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val="restart"/>
            <w:tcBorders>
              <w:top w:val="nil"/>
              <w:left w:val="single" w:sz="8" w:space="0" w:color="auto"/>
              <w:bottom w:val="single" w:sz="8" w:space="0" w:color="000000"/>
              <w:right w:val="single" w:sz="8" w:space="0" w:color="auto"/>
            </w:tcBorders>
            <w:shd w:val="clear" w:color="auto" w:fill="auto"/>
            <w:noWrap/>
            <w:textDirection w:val="btLr"/>
            <w:vAlign w:val="bottom"/>
          </w:tcPr>
          <w:p w:rsidR="00885E46" w:rsidRPr="00885E46" w:rsidRDefault="00885E46" w:rsidP="00885E46">
            <w:pPr>
              <w:jc w:val="both"/>
              <w:rPr>
                <w:sz w:val="18"/>
                <w:szCs w:val="18"/>
                <w:lang w:val="en-US"/>
              </w:rPr>
            </w:pPr>
            <w:r w:rsidRPr="00885E46">
              <w:rPr>
                <w:sz w:val="18"/>
                <w:szCs w:val="18"/>
                <w:lang w:val="en-US"/>
              </w:rPr>
              <w:t>P dependent</w:t>
            </w: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MkCap</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0.839</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1.900</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44.17%</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P/</w:t>
            </w:r>
            <w:proofErr w:type="spellStart"/>
            <w:r w:rsidRPr="00885E46">
              <w:rPr>
                <w:b/>
                <w:bCs/>
                <w:sz w:val="18"/>
                <w:szCs w:val="18"/>
                <w:lang w:val="en-US"/>
              </w:rPr>
              <w:t>Bv</w:t>
            </w:r>
            <w:proofErr w:type="spellEnd"/>
            <w:r w:rsidRPr="00885E46">
              <w:rPr>
                <w:b/>
                <w:bCs/>
                <w:sz w:val="18"/>
                <w:szCs w:val="18"/>
                <w:lang w:val="en-US"/>
              </w:rPr>
              <w:t xml:space="preserve">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0.785</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1.854</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42.36%</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55"/>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P/S </w:t>
            </w:r>
          </w:p>
        </w:tc>
        <w:tc>
          <w:tcPr>
            <w:tcW w:w="736"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0.681</w:t>
            </w:r>
          </w:p>
        </w:tc>
        <w:tc>
          <w:tcPr>
            <w:tcW w:w="6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1.696</w:t>
            </w:r>
          </w:p>
        </w:tc>
        <w:tc>
          <w:tcPr>
            <w:tcW w:w="103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40.17%</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r w:rsidR="00885E46" w:rsidRPr="00885E46" w:rsidTr="00766E8D">
        <w:trPr>
          <w:trHeight w:val="270"/>
        </w:trPr>
        <w:tc>
          <w:tcPr>
            <w:tcW w:w="38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70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 xml:space="preserve">P/E </w:t>
            </w:r>
          </w:p>
        </w:tc>
        <w:tc>
          <w:tcPr>
            <w:tcW w:w="736"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7.215</w:t>
            </w:r>
          </w:p>
        </w:tc>
        <w:tc>
          <w:tcPr>
            <w:tcW w:w="6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7.992</w:t>
            </w:r>
          </w:p>
        </w:tc>
        <w:tc>
          <w:tcPr>
            <w:tcW w:w="103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90.28%</w:t>
            </w:r>
          </w:p>
        </w:tc>
        <w:tc>
          <w:tcPr>
            <w:tcW w:w="736"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694"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03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820"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913"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c>
          <w:tcPr>
            <w:tcW w:w="1147" w:type="dxa"/>
            <w:tcBorders>
              <w:top w:val="nil"/>
              <w:left w:val="nil"/>
              <w:bottom w:val="nil"/>
              <w:right w:val="nil"/>
            </w:tcBorders>
            <w:shd w:val="clear" w:color="auto" w:fill="auto"/>
            <w:noWrap/>
            <w:vAlign w:val="bottom"/>
          </w:tcPr>
          <w:p w:rsidR="00885E46" w:rsidRPr="00885E46" w:rsidRDefault="00885E46" w:rsidP="00885E46">
            <w:pPr>
              <w:jc w:val="both"/>
              <w:rPr>
                <w:sz w:val="18"/>
                <w:szCs w:val="18"/>
                <w:lang w:val="en-US"/>
              </w:rPr>
            </w:pPr>
          </w:p>
        </w:tc>
      </w:tr>
    </w:tbl>
    <w:p w:rsidR="00885E46" w:rsidRPr="00885E46" w:rsidRDefault="00885E46" w:rsidP="00885E46">
      <w:pPr>
        <w:jc w:val="both"/>
        <w:rPr>
          <w:lang w:val="en-US"/>
        </w:rPr>
      </w:pPr>
    </w:p>
    <w:p w:rsidR="00885E46" w:rsidRPr="00885E46" w:rsidRDefault="00885E46" w:rsidP="00885E46">
      <w:pPr>
        <w:jc w:val="center"/>
        <w:rPr>
          <w:lang w:val="en-US"/>
        </w:rPr>
      </w:pPr>
      <w:r w:rsidRPr="00885E46">
        <w:rPr>
          <w:b/>
          <w:lang w:val="en-US"/>
        </w:rPr>
        <w:lastRenderedPageBreak/>
        <w:t>Table 2:</w:t>
      </w:r>
      <w:r w:rsidRPr="00885E46">
        <w:rPr>
          <w:lang w:val="en-US"/>
        </w:rPr>
        <w:t xml:space="preserve"> Correlation between selected fundamental indicators and stock price change for a period of 2003-2008</w:t>
      </w:r>
    </w:p>
    <w:tbl>
      <w:tblPr>
        <w:tblW w:w="9667" w:type="dxa"/>
        <w:tblInd w:w="-34" w:type="dxa"/>
        <w:tblLook w:val="0000" w:firstRow="0" w:lastRow="0" w:firstColumn="0" w:lastColumn="0" w:noHBand="0" w:noVBand="0"/>
      </w:tblPr>
      <w:tblGrid>
        <w:gridCol w:w="993"/>
        <w:gridCol w:w="2894"/>
        <w:gridCol w:w="960"/>
        <w:gridCol w:w="520"/>
        <w:gridCol w:w="3280"/>
        <w:gridCol w:w="1020"/>
      </w:tblGrid>
      <w:tr w:rsidR="00885E46" w:rsidRPr="00885E46" w:rsidTr="00885E46">
        <w:trPr>
          <w:trHeight w:val="255"/>
        </w:trPr>
        <w:tc>
          <w:tcPr>
            <w:tcW w:w="993" w:type="dxa"/>
            <w:vMerge w:val="restart"/>
            <w:tcBorders>
              <w:top w:val="single" w:sz="8" w:space="0" w:color="auto"/>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bookmarkStart w:id="3" w:name="RANGE!B3:G23"/>
            <w:proofErr w:type="spellStart"/>
            <w:r w:rsidRPr="00885E46">
              <w:rPr>
                <w:sz w:val="18"/>
                <w:szCs w:val="18"/>
                <w:lang w:val="en-US"/>
              </w:rPr>
              <w:t>Bosnalijek</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bookmarkEnd w:id="3"/>
          </w:p>
        </w:tc>
        <w:tc>
          <w:tcPr>
            <w:tcW w:w="2894" w:type="dxa"/>
            <w:tcBorders>
              <w:top w:val="single" w:sz="8"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Ratio</w:t>
            </w:r>
          </w:p>
        </w:tc>
        <w:tc>
          <w:tcPr>
            <w:tcW w:w="960" w:type="dxa"/>
            <w:tcBorders>
              <w:top w:val="single" w:sz="8"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Correl</w:t>
            </w:r>
            <w:proofErr w:type="spellEnd"/>
          </w:p>
        </w:tc>
        <w:tc>
          <w:tcPr>
            <w:tcW w:w="520" w:type="dxa"/>
            <w:vMerge w:val="restart"/>
            <w:tcBorders>
              <w:top w:val="single" w:sz="8" w:space="0" w:color="auto"/>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Bihacka</w:t>
            </w:r>
            <w:proofErr w:type="spellEnd"/>
            <w:r w:rsidRPr="00885E46">
              <w:rPr>
                <w:sz w:val="18"/>
                <w:szCs w:val="18"/>
                <w:lang w:val="en-US"/>
              </w:rPr>
              <w:t xml:space="preserve"> </w:t>
            </w:r>
            <w:proofErr w:type="spellStart"/>
            <w:r w:rsidRPr="00885E46">
              <w:rPr>
                <w:sz w:val="18"/>
                <w:szCs w:val="18"/>
                <w:lang w:val="en-US"/>
              </w:rPr>
              <w:t>Pivovara</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3280" w:type="dxa"/>
            <w:tcBorders>
              <w:top w:val="single" w:sz="8"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b/>
                <w:bCs/>
                <w:sz w:val="18"/>
                <w:szCs w:val="18"/>
                <w:lang w:val="en-US"/>
              </w:rPr>
            </w:pPr>
            <w:r w:rsidRPr="00885E46">
              <w:rPr>
                <w:b/>
                <w:bCs/>
                <w:sz w:val="18"/>
                <w:szCs w:val="18"/>
                <w:lang w:val="en-US"/>
              </w:rPr>
              <w:t>Ratio</w:t>
            </w:r>
          </w:p>
        </w:tc>
        <w:tc>
          <w:tcPr>
            <w:tcW w:w="1020" w:type="dxa"/>
            <w:tcBorders>
              <w:top w:val="single" w:sz="8"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b/>
                <w:bCs/>
                <w:sz w:val="18"/>
                <w:szCs w:val="18"/>
                <w:lang w:val="en-US"/>
              </w:rPr>
            </w:pPr>
            <w:proofErr w:type="spellStart"/>
            <w:r w:rsidRPr="00885E46">
              <w:rPr>
                <w:b/>
                <w:bCs/>
                <w:sz w:val="18"/>
                <w:szCs w:val="18"/>
                <w:lang w:val="en-US"/>
              </w:rPr>
              <w:t>Correl</w:t>
            </w:r>
            <w:proofErr w:type="spellEnd"/>
          </w:p>
        </w:tc>
      </w:tr>
      <w:tr w:rsidR="00885E46" w:rsidRPr="00885E46" w:rsidTr="00885E46">
        <w:trPr>
          <w:trHeight w:val="255"/>
        </w:trPr>
        <w:tc>
          <w:tcPr>
            <w:tcW w:w="993"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0.552</w:t>
            </w:r>
          </w:p>
        </w:tc>
        <w:tc>
          <w:tcPr>
            <w:tcW w:w="520"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0.474</w:t>
            </w:r>
          </w:p>
        </w:tc>
      </w:tr>
      <w:tr w:rsidR="00885E46" w:rsidRPr="00885E46" w:rsidTr="00885E46">
        <w:trPr>
          <w:trHeight w:val="255"/>
        </w:trPr>
        <w:tc>
          <w:tcPr>
            <w:tcW w:w="993"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-0.604</w:t>
            </w:r>
          </w:p>
        </w:tc>
        <w:tc>
          <w:tcPr>
            <w:tcW w:w="520"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-0.132</w:t>
            </w:r>
          </w:p>
        </w:tc>
      </w:tr>
      <w:tr w:rsidR="00885E46" w:rsidRPr="00885E46" w:rsidTr="00885E46">
        <w:trPr>
          <w:trHeight w:val="255"/>
        </w:trPr>
        <w:tc>
          <w:tcPr>
            <w:tcW w:w="993"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-0.493</w:t>
            </w:r>
          </w:p>
        </w:tc>
        <w:tc>
          <w:tcPr>
            <w:tcW w:w="520"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0.254</w:t>
            </w:r>
          </w:p>
        </w:tc>
      </w:tr>
      <w:tr w:rsidR="00885E46" w:rsidRPr="00885E46" w:rsidTr="00885E46">
        <w:trPr>
          <w:trHeight w:val="270"/>
        </w:trPr>
        <w:tc>
          <w:tcPr>
            <w:tcW w:w="993"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96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-0.774</w:t>
            </w:r>
          </w:p>
        </w:tc>
        <w:tc>
          <w:tcPr>
            <w:tcW w:w="520" w:type="dxa"/>
            <w:vMerge/>
            <w:tcBorders>
              <w:top w:val="single" w:sz="8" w:space="0" w:color="auto"/>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102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0.266</w:t>
            </w:r>
          </w:p>
        </w:tc>
      </w:tr>
      <w:tr w:rsidR="00885E46" w:rsidRPr="00885E46" w:rsidTr="00885E46">
        <w:trPr>
          <w:trHeight w:val="255"/>
        </w:trPr>
        <w:tc>
          <w:tcPr>
            <w:tcW w:w="993"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r w:rsidRPr="00885E46">
              <w:rPr>
                <w:sz w:val="18"/>
                <w:szCs w:val="18"/>
                <w:lang w:val="en-US"/>
              </w:rPr>
              <w:t xml:space="preserve">BH Telecom </w:t>
            </w:r>
            <w:proofErr w:type="spellStart"/>
            <w:r w:rsidRPr="00885E46">
              <w:rPr>
                <w:sz w:val="18"/>
                <w:szCs w:val="18"/>
                <w:lang w:val="en-US"/>
              </w:rPr>
              <w:t>d.d</w:t>
            </w:r>
            <w:proofErr w:type="spellEnd"/>
            <w:r w:rsidRPr="00885E46">
              <w:rPr>
                <w:sz w:val="18"/>
                <w:szCs w:val="18"/>
                <w:lang w:val="en-US"/>
              </w:rPr>
              <w:t>.</w:t>
            </w:r>
          </w:p>
        </w:tc>
        <w:tc>
          <w:tcPr>
            <w:tcW w:w="2894"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0.072</w:t>
            </w:r>
          </w:p>
        </w:tc>
        <w:tc>
          <w:tcPr>
            <w:tcW w:w="520"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Klas</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102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-0.363</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-0.311</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-0.319</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-0.517</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-0.380</w:t>
            </w:r>
          </w:p>
        </w:tc>
      </w:tr>
      <w:tr w:rsidR="00885E46" w:rsidRPr="00885E46" w:rsidTr="00885E46">
        <w:trPr>
          <w:trHeight w:val="270"/>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96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-0.653</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102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-0.445</w:t>
            </w:r>
          </w:p>
        </w:tc>
      </w:tr>
      <w:tr w:rsidR="00885E46" w:rsidRPr="00885E46" w:rsidTr="00885E46">
        <w:trPr>
          <w:trHeight w:val="255"/>
        </w:trPr>
        <w:tc>
          <w:tcPr>
            <w:tcW w:w="993"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r w:rsidRPr="00885E46">
              <w:rPr>
                <w:sz w:val="18"/>
                <w:szCs w:val="18"/>
                <w:lang w:val="en-US"/>
              </w:rPr>
              <w:t xml:space="preserve">JP </w:t>
            </w:r>
            <w:proofErr w:type="spellStart"/>
            <w:r w:rsidRPr="00885E46">
              <w:rPr>
                <w:sz w:val="18"/>
                <w:szCs w:val="18"/>
                <w:lang w:val="en-US"/>
              </w:rPr>
              <w:t>Elektroprivreda</w:t>
            </w:r>
            <w:proofErr w:type="spellEnd"/>
            <w:r w:rsidRPr="00885E46">
              <w:rPr>
                <w:sz w:val="18"/>
                <w:szCs w:val="18"/>
                <w:lang w:val="en-US"/>
              </w:rPr>
              <w:t xml:space="preserve"> </w:t>
            </w:r>
            <w:proofErr w:type="spellStart"/>
            <w:r w:rsidRPr="00885E46">
              <w:rPr>
                <w:sz w:val="18"/>
                <w:szCs w:val="18"/>
                <w:lang w:val="en-US"/>
              </w:rPr>
              <w:t>BiH</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2894"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0.434</w:t>
            </w:r>
          </w:p>
        </w:tc>
        <w:tc>
          <w:tcPr>
            <w:tcW w:w="520"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Vranica</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102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-0.226</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0.325</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-0.552</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0.419</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-0.248</w:t>
            </w:r>
          </w:p>
        </w:tc>
      </w:tr>
      <w:tr w:rsidR="00885E46" w:rsidRPr="00885E46" w:rsidTr="00885E46">
        <w:trPr>
          <w:trHeight w:val="270"/>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96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0.426</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102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-0.230</w:t>
            </w:r>
          </w:p>
        </w:tc>
      </w:tr>
      <w:tr w:rsidR="00885E46" w:rsidRPr="00885E46" w:rsidTr="00885E46">
        <w:trPr>
          <w:trHeight w:val="255"/>
        </w:trPr>
        <w:tc>
          <w:tcPr>
            <w:tcW w:w="993"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r w:rsidRPr="00885E46">
              <w:rPr>
                <w:sz w:val="18"/>
                <w:szCs w:val="18"/>
                <w:lang w:val="en-US"/>
              </w:rPr>
              <w:t xml:space="preserve">JP </w:t>
            </w:r>
            <w:proofErr w:type="spellStart"/>
            <w:r w:rsidRPr="00885E46">
              <w:rPr>
                <w:sz w:val="18"/>
                <w:szCs w:val="18"/>
                <w:lang w:val="en-US"/>
              </w:rPr>
              <w:t>Elektroprivreda</w:t>
            </w:r>
            <w:proofErr w:type="spellEnd"/>
            <w:r w:rsidRPr="00885E46">
              <w:rPr>
                <w:sz w:val="18"/>
                <w:szCs w:val="18"/>
                <w:lang w:val="en-US"/>
              </w:rPr>
              <w:t xml:space="preserve"> HZHB </w:t>
            </w:r>
            <w:proofErr w:type="spellStart"/>
            <w:r w:rsidRPr="00885E46">
              <w:rPr>
                <w:sz w:val="18"/>
                <w:szCs w:val="18"/>
                <w:lang w:val="en-US"/>
              </w:rPr>
              <w:t>d.d</w:t>
            </w:r>
            <w:proofErr w:type="spellEnd"/>
            <w:r w:rsidRPr="00885E46">
              <w:rPr>
                <w:sz w:val="18"/>
                <w:szCs w:val="18"/>
                <w:lang w:val="en-US"/>
              </w:rPr>
              <w:t>.</w:t>
            </w:r>
          </w:p>
        </w:tc>
        <w:tc>
          <w:tcPr>
            <w:tcW w:w="2894"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-0.428</w:t>
            </w:r>
          </w:p>
        </w:tc>
        <w:tc>
          <w:tcPr>
            <w:tcW w:w="520" w:type="dxa"/>
            <w:vMerge w:val="restart"/>
            <w:tcBorders>
              <w:top w:val="nil"/>
              <w:left w:val="single" w:sz="8" w:space="0" w:color="auto"/>
              <w:bottom w:val="single" w:sz="4" w:space="0" w:color="auto"/>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Vispak</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102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-0.332</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0.466</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0.201</w:t>
            </w:r>
          </w:p>
        </w:tc>
      </w:tr>
      <w:tr w:rsidR="00885E46" w:rsidRPr="00885E46" w:rsidTr="00885E46">
        <w:trPr>
          <w:trHeight w:val="255"/>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-0.408</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-0.326</w:t>
            </w:r>
          </w:p>
        </w:tc>
      </w:tr>
      <w:tr w:rsidR="00885E46" w:rsidRPr="00885E46" w:rsidTr="00885E46">
        <w:trPr>
          <w:trHeight w:val="270"/>
        </w:trPr>
        <w:tc>
          <w:tcPr>
            <w:tcW w:w="993"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28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96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-0.414</w:t>
            </w:r>
          </w:p>
        </w:tc>
        <w:tc>
          <w:tcPr>
            <w:tcW w:w="520" w:type="dxa"/>
            <w:vMerge/>
            <w:tcBorders>
              <w:top w:val="nil"/>
              <w:left w:val="single" w:sz="8" w:space="0" w:color="auto"/>
              <w:bottom w:val="single" w:sz="4" w:space="0" w:color="auto"/>
              <w:right w:val="single" w:sz="8" w:space="0" w:color="auto"/>
            </w:tcBorders>
            <w:vAlign w:val="center"/>
          </w:tcPr>
          <w:p w:rsidR="00885E46" w:rsidRPr="00885E46" w:rsidRDefault="00885E46" w:rsidP="00885E46">
            <w:pPr>
              <w:jc w:val="center"/>
              <w:rPr>
                <w:sz w:val="18"/>
                <w:szCs w:val="18"/>
                <w:lang w:val="en-US"/>
              </w:rPr>
            </w:pPr>
          </w:p>
        </w:tc>
        <w:tc>
          <w:tcPr>
            <w:tcW w:w="328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102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-0.348</w:t>
            </w:r>
          </w:p>
        </w:tc>
      </w:tr>
      <w:tr w:rsidR="00885E46" w:rsidRPr="00885E46" w:rsidTr="00885E46">
        <w:trPr>
          <w:trHeight w:val="255"/>
        </w:trPr>
        <w:tc>
          <w:tcPr>
            <w:tcW w:w="993"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Hidrogradnja</w:t>
            </w:r>
            <w:proofErr w:type="spellEnd"/>
            <w:r w:rsidRPr="00885E46">
              <w:rPr>
                <w:sz w:val="18"/>
                <w:szCs w:val="18"/>
                <w:lang w:val="en-US"/>
              </w:rPr>
              <w:t xml:space="preserve"> d. d.</w:t>
            </w:r>
          </w:p>
        </w:tc>
        <w:tc>
          <w:tcPr>
            <w:tcW w:w="2894"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96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0.254</w:t>
            </w:r>
          </w:p>
        </w:tc>
        <w:tc>
          <w:tcPr>
            <w:tcW w:w="520"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tcPr>
          <w:p w:rsidR="00885E46" w:rsidRPr="00885E46" w:rsidRDefault="00885E46" w:rsidP="00885E46">
            <w:pPr>
              <w:jc w:val="center"/>
              <w:rPr>
                <w:sz w:val="18"/>
                <w:szCs w:val="18"/>
                <w:lang w:val="en-US"/>
              </w:rPr>
            </w:pPr>
            <w:proofErr w:type="spellStart"/>
            <w:r w:rsidRPr="00885E46">
              <w:rPr>
                <w:sz w:val="18"/>
                <w:szCs w:val="18"/>
                <w:lang w:val="en-US"/>
              </w:rPr>
              <w:t>Sipad</w:t>
            </w:r>
            <w:proofErr w:type="spellEnd"/>
            <w:r w:rsidRPr="00885E46">
              <w:rPr>
                <w:sz w:val="18"/>
                <w:szCs w:val="18"/>
                <w:lang w:val="en-US"/>
              </w:rPr>
              <w:t xml:space="preserve"> </w:t>
            </w:r>
            <w:proofErr w:type="spellStart"/>
            <w:r w:rsidRPr="00885E46">
              <w:rPr>
                <w:sz w:val="18"/>
                <w:szCs w:val="18"/>
                <w:lang w:val="en-US"/>
              </w:rPr>
              <w:t>Komerc</w:t>
            </w:r>
            <w:proofErr w:type="spellEnd"/>
            <w:r w:rsidRPr="00885E46">
              <w:rPr>
                <w:sz w:val="18"/>
                <w:szCs w:val="18"/>
                <w:lang w:val="en-US"/>
              </w:rPr>
              <w:t xml:space="preserve"> </w:t>
            </w:r>
            <w:proofErr w:type="spellStart"/>
            <w:r w:rsidRPr="00885E46">
              <w:rPr>
                <w:sz w:val="18"/>
                <w:szCs w:val="18"/>
                <w:lang w:val="en-US"/>
              </w:rPr>
              <w:t>d.d</w:t>
            </w:r>
            <w:proofErr w:type="spellEnd"/>
            <w:r w:rsidRPr="00885E46">
              <w:rPr>
                <w:sz w:val="18"/>
                <w:szCs w:val="18"/>
                <w:lang w:val="en-US"/>
              </w:rPr>
              <w:t>.</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Net income</w:t>
            </w:r>
          </w:p>
        </w:tc>
        <w:tc>
          <w:tcPr>
            <w:tcW w:w="1020" w:type="dxa"/>
            <w:tcBorders>
              <w:top w:val="single" w:sz="4" w:space="0" w:color="auto"/>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0.296</w:t>
            </w:r>
          </w:p>
        </w:tc>
      </w:tr>
      <w:tr w:rsidR="00885E46" w:rsidRPr="00885E46" w:rsidTr="00885E46">
        <w:trPr>
          <w:trHeight w:val="255"/>
        </w:trPr>
        <w:tc>
          <w:tcPr>
            <w:tcW w:w="993"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-0.684</w:t>
            </w:r>
          </w:p>
        </w:tc>
        <w:tc>
          <w:tcPr>
            <w:tcW w:w="52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ATO</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-0.696</w:t>
            </w:r>
          </w:p>
        </w:tc>
      </w:tr>
      <w:tr w:rsidR="00885E46" w:rsidRPr="00885E46" w:rsidTr="00885E46">
        <w:trPr>
          <w:trHeight w:val="255"/>
        </w:trPr>
        <w:tc>
          <w:tcPr>
            <w:tcW w:w="993"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2894"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96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0.255</w:t>
            </w:r>
          </w:p>
        </w:tc>
        <w:tc>
          <w:tcPr>
            <w:tcW w:w="52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3280" w:type="dxa"/>
            <w:tcBorders>
              <w:top w:val="nil"/>
              <w:left w:val="nil"/>
              <w:bottom w:val="single" w:sz="4"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ROE</w:t>
            </w:r>
          </w:p>
        </w:tc>
        <w:tc>
          <w:tcPr>
            <w:tcW w:w="1020" w:type="dxa"/>
            <w:tcBorders>
              <w:top w:val="nil"/>
              <w:left w:val="nil"/>
              <w:bottom w:val="single" w:sz="4"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0.284</w:t>
            </w:r>
          </w:p>
        </w:tc>
      </w:tr>
      <w:tr w:rsidR="00885E46" w:rsidRPr="00885E46" w:rsidTr="00885E46">
        <w:trPr>
          <w:trHeight w:val="270"/>
        </w:trPr>
        <w:tc>
          <w:tcPr>
            <w:tcW w:w="993"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2894"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96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0.297</w:t>
            </w:r>
          </w:p>
        </w:tc>
        <w:tc>
          <w:tcPr>
            <w:tcW w:w="520" w:type="dxa"/>
            <w:vMerge/>
            <w:tcBorders>
              <w:top w:val="nil"/>
              <w:left w:val="single" w:sz="8" w:space="0" w:color="auto"/>
              <w:bottom w:val="single" w:sz="8" w:space="0" w:color="000000"/>
              <w:right w:val="single" w:sz="8" w:space="0" w:color="auto"/>
            </w:tcBorders>
            <w:vAlign w:val="center"/>
          </w:tcPr>
          <w:p w:rsidR="00885E46" w:rsidRPr="00885E46" w:rsidRDefault="00885E46" w:rsidP="00885E46">
            <w:pPr>
              <w:jc w:val="both"/>
              <w:rPr>
                <w:sz w:val="18"/>
                <w:szCs w:val="18"/>
                <w:lang w:val="en-US"/>
              </w:rPr>
            </w:pPr>
          </w:p>
        </w:tc>
        <w:tc>
          <w:tcPr>
            <w:tcW w:w="3280" w:type="dxa"/>
            <w:tcBorders>
              <w:top w:val="nil"/>
              <w:left w:val="nil"/>
              <w:bottom w:val="single" w:sz="8" w:space="0" w:color="auto"/>
              <w:right w:val="single" w:sz="4"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ROA</w:t>
            </w:r>
          </w:p>
        </w:tc>
        <w:tc>
          <w:tcPr>
            <w:tcW w:w="1020" w:type="dxa"/>
            <w:tcBorders>
              <w:top w:val="nil"/>
              <w:left w:val="nil"/>
              <w:bottom w:val="single" w:sz="8" w:space="0" w:color="auto"/>
              <w:right w:val="single" w:sz="8" w:space="0" w:color="auto"/>
            </w:tcBorders>
            <w:shd w:val="clear" w:color="auto" w:fill="auto"/>
            <w:noWrap/>
            <w:vAlign w:val="bottom"/>
          </w:tcPr>
          <w:p w:rsidR="00885E46" w:rsidRPr="00885E46" w:rsidRDefault="00885E46" w:rsidP="00885E46">
            <w:pPr>
              <w:jc w:val="both"/>
              <w:rPr>
                <w:sz w:val="18"/>
                <w:szCs w:val="18"/>
                <w:lang w:val="en-US"/>
              </w:rPr>
            </w:pPr>
            <w:r w:rsidRPr="00885E46">
              <w:rPr>
                <w:sz w:val="18"/>
                <w:szCs w:val="18"/>
                <w:lang w:val="en-US"/>
              </w:rPr>
              <w:t>0.283</w:t>
            </w:r>
          </w:p>
        </w:tc>
      </w:tr>
    </w:tbl>
    <w:p w:rsidR="00885E46" w:rsidRPr="00885E46" w:rsidRDefault="00885E46" w:rsidP="00885E46">
      <w:pPr>
        <w:jc w:val="both"/>
        <w:rPr>
          <w:lang w:val="en-US"/>
        </w:rPr>
      </w:pPr>
    </w:p>
    <w:p w:rsidR="00885E46" w:rsidRPr="00885E46" w:rsidRDefault="00885E46" w:rsidP="00885E46">
      <w:pPr>
        <w:jc w:val="both"/>
        <w:rPr>
          <w:lang w:val="en-US"/>
        </w:rPr>
      </w:pPr>
    </w:p>
    <w:p w:rsidR="00885E46" w:rsidRPr="00885E46" w:rsidRDefault="00885E46" w:rsidP="00885E46">
      <w:pPr>
        <w:jc w:val="both"/>
        <w:rPr>
          <w:b/>
          <w:lang w:val="en-US"/>
        </w:rPr>
      </w:pPr>
      <w:r w:rsidRPr="00885E46">
        <w:rPr>
          <w:b/>
          <w:lang w:val="en-US"/>
        </w:rPr>
        <w:t>Discussion</w:t>
      </w:r>
    </w:p>
    <w:p w:rsidR="00885E46" w:rsidRPr="00885E46" w:rsidRDefault="00885E46" w:rsidP="00885E46">
      <w:pPr>
        <w:jc w:val="both"/>
        <w:rPr>
          <w:b/>
          <w:lang w:val="en-US"/>
        </w:rPr>
      </w:pPr>
    </w:p>
    <w:p w:rsidR="00885E46" w:rsidRPr="00885E46" w:rsidRDefault="00885E46" w:rsidP="00885E46">
      <w:pPr>
        <w:jc w:val="both"/>
        <w:rPr>
          <w:lang w:val="en-US"/>
        </w:rPr>
      </w:pPr>
      <w:r w:rsidRPr="00885E46">
        <w:rPr>
          <w:lang w:val="en-US"/>
        </w:rPr>
        <w:t xml:space="preserve">In the observed time period, six out of ten companies observed in this study, suffered net loss for the period of 2003-2008, which was covered by the reduction in the capital. Yet at the same time corporate share prices have risen dramatically, with mean value for the period ranging between 190% of the index year mean price (year 2003) up to 846% for a company </w:t>
      </w:r>
      <w:proofErr w:type="spellStart"/>
      <w:r w:rsidRPr="00885E46">
        <w:rPr>
          <w:lang w:val="en-US"/>
        </w:rPr>
        <w:t>Vranica</w:t>
      </w:r>
      <w:proofErr w:type="spellEnd"/>
      <w:r w:rsidRPr="00885E46">
        <w:rPr>
          <w:lang w:val="en-US"/>
        </w:rPr>
        <w:t xml:space="preserve"> </w:t>
      </w:r>
      <w:proofErr w:type="spellStart"/>
      <w:proofErr w:type="gramStart"/>
      <w:r w:rsidRPr="00885E46">
        <w:rPr>
          <w:lang w:val="en-US"/>
        </w:rPr>
        <w:t>d.d</w:t>
      </w:r>
      <w:proofErr w:type="spellEnd"/>
      <w:proofErr w:type="gramEnd"/>
      <w:r w:rsidRPr="00885E46">
        <w:rPr>
          <w:lang w:val="en-US"/>
        </w:rPr>
        <w:t xml:space="preserve">., as an example. Other companies enjoyed similar growth in share value, and the growth was most notable in 2005 – 2007 </w:t>
      </w:r>
      <w:proofErr w:type="gramStart"/>
      <w:r w:rsidRPr="00885E46">
        <w:rPr>
          <w:lang w:val="en-US"/>
        </w:rPr>
        <w:t>period</w:t>
      </w:r>
      <w:proofErr w:type="gramEnd"/>
      <w:r w:rsidRPr="00885E46">
        <w:rPr>
          <w:lang w:val="en-US"/>
        </w:rPr>
        <w:t xml:space="preserve">, despite poor and declining fundamentals. Only </w:t>
      </w:r>
      <w:proofErr w:type="spellStart"/>
      <w:r w:rsidRPr="00885E46">
        <w:rPr>
          <w:lang w:val="en-US"/>
        </w:rPr>
        <w:t>Bihacka</w:t>
      </w:r>
      <w:proofErr w:type="spellEnd"/>
      <w:r w:rsidRPr="00885E46">
        <w:rPr>
          <w:lang w:val="en-US"/>
        </w:rPr>
        <w:t xml:space="preserve"> </w:t>
      </w:r>
      <w:proofErr w:type="spellStart"/>
      <w:r w:rsidRPr="00885E46">
        <w:rPr>
          <w:lang w:val="en-US"/>
        </w:rPr>
        <w:t>Pivovara</w:t>
      </w:r>
      <w:proofErr w:type="spellEnd"/>
      <w:r w:rsidRPr="00885E46">
        <w:rPr>
          <w:lang w:val="en-US"/>
        </w:rPr>
        <w:t xml:space="preserve"> </w:t>
      </w:r>
      <w:proofErr w:type="spellStart"/>
      <w:proofErr w:type="gramStart"/>
      <w:r w:rsidRPr="00885E46">
        <w:rPr>
          <w:lang w:val="en-US"/>
        </w:rPr>
        <w:t>d.d</w:t>
      </w:r>
      <w:proofErr w:type="spellEnd"/>
      <w:proofErr w:type="gramEnd"/>
      <w:r w:rsidRPr="00885E46">
        <w:rPr>
          <w:lang w:val="en-US"/>
        </w:rPr>
        <w:t>. demonstrated same level of change of price dependent vs. price independent ratios; in the case of this company, corporate performance parameters grew proportionally to the share price, and this is a rare case of share price growth substantiated by the growth in corporate intrinsic value.</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Volatility of the market at the time was very high. Previous research by author (</w:t>
      </w:r>
      <w:proofErr w:type="spellStart"/>
      <w:r w:rsidRPr="00885E46">
        <w:rPr>
          <w:lang w:val="en-US"/>
        </w:rPr>
        <w:t>Dzanic</w:t>
      </w:r>
      <w:proofErr w:type="spellEnd"/>
      <w:r w:rsidRPr="00885E46">
        <w:rPr>
          <w:lang w:val="en-US"/>
        </w:rPr>
        <w:t xml:space="preserve"> et al., 2010) indicated that volatility of SASE index SASX-10 was about ten times larger than Dow Jones Industrial Average. At the same time, correlation between those two indices was -0.38474, and SASE-10 index grew by 57% in the first half of the year. This is an indication of relative independence of SASE from major capital markets, when those markets are relatively stable. With the onset of 2007 recession, volatility increased in the United States, and capital markets started to mount losses. In 2007-2008 and with increasing volatility and losses in the US capital markets, SASE quoted shares started to lose value, especially in 2008. During that year, correlation between SASE and NYSE indices was 0.84775 in sharp contrast to 2005, which is an indication of a crisis spillover effect, as demonstrated by other authors(</w:t>
      </w:r>
      <w:proofErr w:type="spellStart"/>
      <w:r w:rsidRPr="00885E46">
        <w:rPr>
          <w:lang w:val="en-US"/>
        </w:rPr>
        <w:t>Longin</w:t>
      </w:r>
      <w:proofErr w:type="spellEnd"/>
      <w:r w:rsidRPr="00885E46">
        <w:rPr>
          <w:lang w:val="en-US"/>
        </w:rPr>
        <w:t xml:space="preserve"> and </w:t>
      </w:r>
      <w:proofErr w:type="spellStart"/>
      <w:r w:rsidRPr="00885E46">
        <w:rPr>
          <w:lang w:val="en-US"/>
        </w:rPr>
        <w:t>Solnik</w:t>
      </w:r>
      <w:proofErr w:type="spellEnd"/>
      <w:r w:rsidRPr="00885E46">
        <w:rPr>
          <w:lang w:val="en-US"/>
        </w:rPr>
        <w:t xml:space="preserve"> 2001), in other emerging markets (King and </w:t>
      </w:r>
      <w:proofErr w:type="spellStart"/>
      <w:r w:rsidRPr="00885E46">
        <w:rPr>
          <w:lang w:val="en-US"/>
        </w:rPr>
        <w:t>Wadhwani</w:t>
      </w:r>
      <w:proofErr w:type="spellEnd"/>
      <w:r w:rsidRPr="00885E46">
        <w:rPr>
          <w:lang w:val="en-US"/>
        </w:rPr>
        <w:t xml:space="preserve"> 1990). </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In terms of correlation of share price with fundamental indicators, seven out of ten companies had correlation coefficient for net income in a range less than 0.4, indicating no linear relationship between share price movement and change in corporate earnings. One company even had a strong negative correlation coefficient for net earnings (</w:t>
      </w:r>
      <w:proofErr w:type="spellStart"/>
      <w:r w:rsidRPr="00885E46">
        <w:rPr>
          <w:lang w:val="en-US"/>
        </w:rPr>
        <w:t>Elekroprivreda</w:t>
      </w:r>
      <w:proofErr w:type="spellEnd"/>
      <w:r w:rsidRPr="00885E46">
        <w:rPr>
          <w:lang w:val="en-US"/>
        </w:rPr>
        <w:t xml:space="preserve"> HZHB) indicating that as earnings dropped over the period, and the company netted a loss, share price war growing.</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The results of the research suggest that fundamental indicators are not a driving force behind a change in share price of companies quoted on SASE, as demonstrated in seven out of ten companies examined in this study. Only one company had magnitude of change of fundamental indicators correlated to share price performance, while the other two demonstrated direction, and not necessarily the magnitude.</w:t>
      </w:r>
    </w:p>
    <w:p w:rsidR="00885E46" w:rsidRPr="00885E46" w:rsidRDefault="00885E46" w:rsidP="00885E46">
      <w:pPr>
        <w:jc w:val="both"/>
        <w:rPr>
          <w:lang w:val="en-US"/>
        </w:rPr>
      </w:pPr>
    </w:p>
    <w:p w:rsidR="00885E46" w:rsidRPr="00885E46" w:rsidRDefault="00885E46" w:rsidP="00885E46">
      <w:pPr>
        <w:jc w:val="both"/>
        <w:rPr>
          <w:b/>
          <w:lang w:val="en-US"/>
        </w:rPr>
      </w:pPr>
      <w:r w:rsidRPr="00885E46">
        <w:rPr>
          <w:b/>
          <w:lang w:val="en-US"/>
        </w:rPr>
        <w:t>Conclusion</w:t>
      </w:r>
    </w:p>
    <w:p w:rsidR="00885E46" w:rsidRPr="00885E46" w:rsidRDefault="00885E46" w:rsidP="00885E46">
      <w:pPr>
        <w:jc w:val="both"/>
        <w:rPr>
          <w:lang w:val="en-US"/>
        </w:rPr>
      </w:pPr>
    </w:p>
    <w:p w:rsidR="00885E46" w:rsidRPr="00885E46" w:rsidRDefault="00885E46" w:rsidP="00885E46">
      <w:pPr>
        <w:jc w:val="both"/>
        <w:rPr>
          <w:lang w:val="en-US"/>
        </w:rPr>
      </w:pPr>
      <w:r w:rsidRPr="00885E46">
        <w:rPr>
          <w:lang w:val="en-US"/>
        </w:rPr>
        <w:t xml:space="preserve">The research determined that fundamentals do not determine share price in the examined period. We can thus argue that irrational or speculative determinants are at play; a discouraging prospect for a developing capital market. The result of high-risk high-volatility market situation was a significant decline in value of securities listed on the exchange. This decline led to a loss of confidence of individual investors in the exchange which can be illustrated by low trading volumes in the last few years, usually in the region of 1% to 3% of 2007 levels. The exchange thus is incapable of serving most of functions traditionally associated with the business. In order to discourage speculative activities, authorities must learn to cope with the problem and legislation as well as oversight has to be improved, if confidence is to return to the Sarajevo Stock Exchange, together with the lost trading volumes. </w:t>
      </w:r>
    </w:p>
    <w:p w:rsidR="00885E46" w:rsidRPr="00885E46" w:rsidRDefault="00885E46" w:rsidP="00885E46">
      <w:pPr>
        <w:jc w:val="both"/>
        <w:rPr>
          <w:lang w:val="en-US"/>
        </w:rPr>
      </w:pPr>
    </w:p>
    <w:p w:rsidR="00885E46" w:rsidRPr="00885E46" w:rsidRDefault="00885E46" w:rsidP="00885E46">
      <w:pPr>
        <w:jc w:val="both"/>
        <w:rPr>
          <w:b/>
          <w:lang w:val="en-US"/>
        </w:rPr>
      </w:pPr>
      <w:r w:rsidRPr="00885E46">
        <w:rPr>
          <w:b/>
          <w:lang w:val="en-US"/>
        </w:rPr>
        <w:t>References</w:t>
      </w:r>
    </w:p>
    <w:p w:rsidR="00885E46" w:rsidRPr="00885E46" w:rsidRDefault="00885E46" w:rsidP="00885E46">
      <w:pPr>
        <w:jc w:val="both"/>
        <w:rPr>
          <w:lang w:val="en-US"/>
        </w:rPr>
      </w:pPr>
    </w:p>
    <w:p w:rsidR="00885E46" w:rsidRPr="00885E46" w:rsidRDefault="00885E46" w:rsidP="00885E46">
      <w:pPr>
        <w:ind w:left="709" w:hanging="709"/>
        <w:jc w:val="both"/>
        <w:rPr>
          <w:lang w:val="en-US"/>
        </w:rPr>
      </w:pPr>
      <w:proofErr w:type="spellStart"/>
      <w:r w:rsidRPr="00885E46">
        <w:rPr>
          <w:lang w:val="en-US"/>
        </w:rPr>
        <w:t>Abarbanell</w:t>
      </w:r>
      <w:proofErr w:type="spellEnd"/>
      <w:r w:rsidRPr="00885E46">
        <w:rPr>
          <w:lang w:val="en-US"/>
        </w:rPr>
        <w:t xml:space="preserve">, J. &amp; </w:t>
      </w:r>
      <w:proofErr w:type="spellStart"/>
      <w:r w:rsidRPr="00885E46">
        <w:rPr>
          <w:lang w:val="en-US"/>
        </w:rPr>
        <w:t>Bushee</w:t>
      </w:r>
      <w:proofErr w:type="spellEnd"/>
      <w:r w:rsidRPr="00885E46">
        <w:rPr>
          <w:lang w:val="en-US"/>
        </w:rPr>
        <w:t>, B</w:t>
      </w:r>
      <w:proofErr w:type="gramStart"/>
      <w:r w:rsidRPr="00885E46">
        <w:rPr>
          <w:lang w:val="en-US"/>
        </w:rPr>
        <w:t>.(</w:t>
      </w:r>
      <w:proofErr w:type="gramEnd"/>
      <w:r w:rsidRPr="00885E46">
        <w:rPr>
          <w:lang w:val="en-US"/>
        </w:rPr>
        <w:t xml:space="preserve">1998). Abnormal returns to a fundamental analysis strategy. </w:t>
      </w:r>
      <w:r w:rsidRPr="00885E46">
        <w:rPr>
          <w:i/>
          <w:lang w:val="en-US"/>
        </w:rPr>
        <w:t>The Accounting Review</w:t>
      </w:r>
      <w:r w:rsidRPr="00885E46">
        <w:rPr>
          <w:lang w:val="en-US"/>
        </w:rPr>
        <w:t xml:space="preserve"> </w:t>
      </w:r>
      <w:r w:rsidRPr="00885E46">
        <w:rPr>
          <w:i/>
          <w:lang w:val="en-US"/>
        </w:rPr>
        <w:t>73</w:t>
      </w:r>
      <w:r w:rsidRPr="00885E46">
        <w:rPr>
          <w:lang w:val="en-US"/>
        </w:rPr>
        <w:t>, 19-45</w:t>
      </w:r>
    </w:p>
    <w:p w:rsidR="00885E46" w:rsidRPr="00885E46" w:rsidRDefault="00885E46" w:rsidP="00885E46">
      <w:pPr>
        <w:ind w:left="709" w:hanging="709"/>
        <w:jc w:val="both"/>
        <w:rPr>
          <w:lang w:val="en-US"/>
        </w:rPr>
      </w:pPr>
    </w:p>
    <w:p w:rsidR="00885E46" w:rsidRPr="00885E46" w:rsidRDefault="00885E46" w:rsidP="00885E46">
      <w:pPr>
        <w:ind w:left="709" w:hanging="709"/>
        <w:jc w:val="both"/>
        <w:rPr>
          <w:lang w:val="en-US"/>
        </w:rPr>
      </w:pPr>
      <w:proofErr w:type="spellStart"/>
      <w:r w:rsidRPr="00885E46">
        <w:rPr>
          <w:lang w:val="en-US"/>
        </w:rPr>
        <w:t>Banz</w:t>
      </w:r>
      <w:proofErr w:type="spellEnd"/>
      <w:r w:rsidRPr="00885E46">
        <w:rPr>
          <w:lang w:val="en-US"/>
        </w:rPr>
        <w:t>, R</w:t>
      </w:r>
      <w:proofErr w:type="gramStart"/>
      <w:r w:rsidRPr="00885E46">
        <w:rPr>
          <w:lang w:val="en-US"/>
        </w:rPr>
        <w:t>.(</w:t>
      </w:r>
      <w:proofErr w:type="gramEnd"/>
      <w:r w:rsidRPr="00885E46">
        <w:rPr>
          <w:lang w:val="en-US"/>
        </w:rPr>
        <w:t xml:space="preserve">1981). </w:t>
      </w:r>
      <w:proofErr w:type="gramStart"/>
      <w:r w:rsidRPr="00885E46">
        <w:rPr>
          <w:lang w:val="en-US"/>
        </w:rPr>
        <w:t>The relationship between return and market value of common stocks.</w:t>
      </w:r>
      <w:proofErr w:type="gramEnd"/>
      <w:r w:rsidRPr="00885E46">
        <w:rPr>
          <w:lang w:val="en-US"/>
        </w:rPr>
        <w:t xml:space="preserve"> </w:t>
      </w:r>
      <w:r w:rsidRPr="00885E46">
        <w:rPr>
          <w:i/>
          <w:lang w:val="en-US"/>
        </w:rPr>
        <w:t>Journal of Financial Economics 9</w:t>
      </w:r>
      <w:r w:rsidRPr="00885E46">
        <w:rPr>
          <w:lang w:val="en-US"/>
        </w:rPr>
        <w:t>, 3-18</w:t>
      </w:r>
    </w:p>
    <w:p w:rsidR="00885E46" w:rsidRPr="00885E46" w:rsidRDefault="00885E46" w:rsidP="00885E46">
      <w:pPr>
        <w:ind w:left="709" w:hanging="709"/>
        <w:jc w:val="both"/>
        <w:rPr>
          <w:lang w:val="en-US"/>
        </w:rPr>
      </w:pPr>
    </w:p>
    <w:p w:rsidR="00885E46" w:rsidRPr="00885E46" w:rsidRDefault="00885E46" w:rsidP="00885E46">
      <w:pPr>
        <w:pStyle w:val="Eaoaeaa"/>
        <w:widowControl/>
        <w:ind w:left="709" w:hanging="709"/>
        <w:jc w:val="both"/>
        <w:rPr>
          <w:i/>
          <w:color w:val="000000"/>
          <w:sz w:val="24"/>
          <w:szCs w:val="24"/>
        </w:rPr>
      </w:pPr>
      <w:proofErr w:type="spellStart"/>
      <w:r w:rsidRPr="00885E46">
        <w:rPr>
          <w:color w:val="000000"/>
          <w:sz w:val="24"/>
          <w:szCs w:val="24"/>
        </w:rPr>
        <w:t>Džanić</w:t>
      </w:r>
      <w:proofErr w:type="spellEnd"/>
      <w:r w:rsidRPr="00885E46">
        <w:rPr>
          <w:color w:val="000000"/>
          <w:sz w:val="24"/>
          <w:szCs w:val="24"/>
        </w:rPr>
        <w:t xml:space="preserve"> E., </w:t>
      </w:r>
      <w:proofErr w:type="spellStart"/>
      <w:r w:rsidRPr="00885E46">
        <w:rPr>
          <w:color w:val="000000"/>
          <w:sz w:val="24"/>
          <w:szCs w:val="24"/>
        </w:rPr>
        <w:t>Grozdanić</w:t>
      </w:r>
      <w:proofErr w:type="spellEnd"/>
      <w:r w:rsidRPr="00885E46">
        <w:rPr>
          <w:color w:val="000000"/>
          <w:sz w:val="24"/>
          <w:szCs w:val="24"/>
        </w:rPr>
        <w:t xml:space="preserve"> E., </w:t>
      </w:r>
      <w:proofErr w:type="spellStart"/>
      <w:r w:rsidRPr="00885E46">
        <w:rPr>
          <w:color w:val="000000"/>
          <w:sz w:val="24"/>
          <w:szCs w:val="24"/>
        </w:rPr>
        <w:t>Đug</w:t>
      </w:r>
      <w:proofErr w:type="spellEnd"/>
      <w:r w:rsidRPr="00885E46">
        <w:rPr>
          <w:color w:val="000000"/>
          <w:sz w:val="24"/>
          <w:szCs w:val="24"/>
        </w:rPr>
        <w:t xml:space="preserve"> D. (2010</w:t>
      </w:r>
      <w:proofErr w:type="gramStart"/>
      <w:r w:rsidRPr="00885E46">
        <w:rPr>
          <w:color w:val="000000"/>
          <w:sz w:val="24"/>
          <w:szCs w:val="24"/>
        </w:rPr>
        <w:t xml:space="preserve">)  </w:t>
      </w:r>
      <w:proofErr w:type="spellStart"/>
      <w:r w:rsidRPr="00885E46">
        <w:rPr>
          <w:color w:val="000000"/>
          <w:sz w:val="24"/>
          <w:szCs w:val="24"/>
        </w:rPr>
        <w:t>Svjetska</w:t>
      </w:r>
      <w:proofErr w:type="spellEnd"/>
      <w:proofErr w:type="gramEnd"/>
      <w:r w:rsidRPr="00885E46">
        <w:rPr>
          <w:color w:val="000000"/>
          <w:sz w:val="24"/>
          <w:szCs w:val="24"/>
        </w:rPr>
        <w:t xml:space="preserve"> </w:t>
      </w:r>
      <w:proofErr w:type="spellStart"/>
      <w:r w:rsidRPr="00885E46">
        <w:rPr>
          <w:color w:val="000000"/>
          <w:sz w:val="24"/>
          <w:szCs w:val="24"/>
        </w:rPr>
        <w:t>berzanska</w:t>
      </w:r>
      <w:proofErr w:type="spellEnd"/>
      <w:r w:rsidRPr="00885E46">
        <w:rPr>
          <w:color w:val="000000"/>
          <w:sz w:val="24"/>
          <w:szCs w:val="24"/>
        </w:rPr>
        <w:t xml:space="preserve"> </w:t>
      </w:r>
      <w:proofErr w:type="spellStart"/>
      <w:r w:rsidRPr="00885E46">
        <w:rPr>
          <w:color w:val="000000"/>
          <w:sz w:val="24"/>
          <w:szCs w:val="24"/>
        </w:rPr>
        <w:t>kretanja</w:t>
      </w:r>
      <w:proofErr w:type="spellEnd"/>
      <w:r w:rsidRPr="00885E46">
        <w:rPr>
          <w:color w:val="000000"/>
          <w:sz w:val="24"/>
          <w:szCs w:val="24"/>
        </w:rPr>
        <w:t xml:space="preserve"> </w:t>
      </w:r>
      <w:proofErr w:type="spellStart"/>
      <w:r w:rsidRPr="00885E46">
        <w:rPr>
          <w:color w:val="000000"/>
          <w:sz w:val="24"/>
          <w:szCs w:val="24"/>
        </w:rPr>
        <w:t>kao</w:t>
      </w:r>
      <w:proofErr w:type="spellEnd"/>
      <w:r w:rsidRPr="00885E46">
        <w:rPr>
          <w:color w:val="000000"/>
          <w:sz w:val="24"/>
          <w:szCs w:val="24"/>
        </w:rPr>
        <w:t xml:space="preserve"> </w:t>
      </w:r>
      <w:proofErr w:type="spellStart"/>
      <w:r w:rsidRPr="00885E46">
        <w:rPr>
          <w:color w:val="000000"/>
          <w:sz w:val="24"/>
          <w:szCs w:val="24"/>
        </w:rPr>
        <w:t>determinanta</w:t>
      </w:r>
      <w:proofErr w:type="spellEnd"/>
      <w:r w:rsidRPr="00885E46">
        <w:rPr>
          <w:color w:val="000000"/>
          <w:sz w:val="24"/>
          <w:szCs w:val="24"/>
        </w:rPr>
        <w:t xml:space="preserve"> </w:t>
      </w:r>
      <w:proofErr w:type="spellStart"/>
      <w:r w:rsidRPr="00885E46">
        <w:rPr>
          <w:color w:val="000000"/>
          <w:sz w:val="24"/>
          <w:szCs w:val="24"/>
        </w:rPr>
        <w:t>kretanja</w:t>
      </w:r>
      <w:proofErr w:type="spellEnd"/>
      <w:r w:rsidRPr="00885E46">
        <w:rPr>
          <w:color w:val="000000"/>
          <w:sz w:val="24"/>
          <w:szCs w:val="24"/>
        </w:rPr>
        <w:t xml:space="preserve"> </w:t>
      </w:r>
      <w:proofErr w:type="spellStart"/>
      <w:r w:rsidRPr="00885E46">
        <w:rPr>
          <w:color w:val="000000"/>
          <w:sz w:val="24"/>
          <w:szCs w:val="24"/>
        </w:rPr>
        <w:t>na</w:t>
      </w:r>
      <w:proofErr w:type="spellEnd"/>
      <w:r w:rsidRPr="00885E46">
        <w:rPr>
          <w:color w:val="000000"/>
          <w:sz w:val="24"/>
          <w:szCs w:val="24"/>
        </w:rPr>
        <w:t xml:space="preserve"> </w:t>
      </w:r>
      <w:proofErr w:type="spellStart"/>
      <w:r w:rsidRPr="00885E46">
        <w:rPr>
          <w:color w:val="000000"/>
          <w:sz w:val="24"/>
          <w:szCs w:val="24"/>
        </w:rPr>
        <w:t>Sarajevskoj</w:t>
      </w:r>
      <w:proofErr w:type="spellEnd"/>
      <w:r w:rsidRPr="00885E46">
        <w:rPr>
          <w:color w:val="000000"/>
          <w:sz w:val="24"/>
          <w:szCs w:val="24"/>
        </w:rPr>
        <w:t xml:space="preserve"> </w:t>
      </w:r>
      <w:proofErr w:type="spellStart"/>
      <w:r w:rsidRPr="00885E46">
        <w:rPr>
          <w:color w:val="000000"/>
          <w:sz w:val="24"/>
          <w:szCs w:val="24"/>
        </w:rPr>
        <w:t>berzi</w:t>
      </w:r>
      <w:proofErr w:type="spellEnd"/>
      <w:r w:rsidRPr="00885E46">
        <w:rPr>
          <w:color w:val="000000"/>
          <w:sz w:val="24"/>
          <w:szCs w:val="24"/>
        </w:rPr>
        <w:t xml:space="preserve">. </w:t>
      </w:r>
      <w:r w:rsidRPr="00885E46">
        <w:rPr>
          <w:i/>
          <w:color w:val="000000"/>
          <w:sz w:val="24"/>
          <w:szCs w:val="24"/>
        </w:rPr>
        <w:t xml:space="preserve"> </w:t>
      </w:r>
      <w:proofErr w:type="spellStart"/>
      <w:r w:rsidRPr="00885E46">
        <w:rPr>
          <w:i/>
          <w:color w:val="000000"/>
          <w:sz w:val="24"/>
          <w:szCs w:val="24"/>
        </w:rPr>
        <w:t>Perspektive</w:t>
      </w:r>
      <w:proofErr w:type="spellEnd"/>
      <w:r w:rsidRPr="00885E46">
        <w:rPr>
          <w:color w:val="000000"/>
          <w:sz w:val="24"/>
          <w:szCs w:val="24"/>
        </w:rPr>
        <w:t xml:space="preserve"> </w:t>
      </w:r>
      <w:proofErr w:type="spellStart"/>
      <w:r w:rsidRPr="00885E46">
        <w:rPr>
          <w:i/>
          <w:color w:val="000000"/>
          <w:sz w:val="24"/>
          <w:szCs w:val="24"/>
        </w:rPr>
        <w:t>ekonomskog</w:t>
      </w:r>
      <w:proofErr w:type="spellEnd"/>
      <w:r w:rsidRPr="00885E46">
        <w:rPr>
          <w:i/>
          <w:color w:val="000000"/>
          <w:sz w:val="24"/>
          <w:szCs w:val="24"/>
        </w:rPr>
        <w:t xml:space="preserve"> </w:t>
      </w:r>
      <w:proofErr w:type="spellStart"/>
      <w:r w:rsidRPr="00885E46">
        <w:rPr>
          <w:i/>
          <w:color w:val="000000"/>
          <w:sz w:val="24"/>
          <w:szCs w:val="24"/>
        </w:rPr>
        <w:t>razvoja</w:t>
      </w:r>
      <w:proofErr w:type="spellEnd"/>
      <w:r w:rsidRPr="00885E46">
        <w:rPr>
          <w:i/>
          <w:color w:val="000000"/>
          <w:sz w:val="24"/>
          <w:szCs w:val="24"/>
        </w:rPr>
        <w:t xml:space="preserve"> </w:t>
      </w:r>
      <w:proofErr w:type="spellStart"/>
      <w:r w:rsidRPr="00885E46">
        <w:rPr>
          <w:i/>
          <w:color w:val="000000"/>
          <w:sz w:val="24"/>
          <w:szCs w:val="24"/>
        </w:rPr>
        <w:t>BiH</w:t>
      </w:r>
      <w:proofErr w:type="spellEnd"/>
    </w:p>
    <w:p w:rsidR="00885E46" w:rsidRPr="00885E46" w:rsidRDefault="00885E46" w:rsidP="00885E46">
      <w:pPr>
        <w:pStyle w:val="Eaoaeaa"/>
        <w:widowControl/>
        <w:ind w:left="709" w:hanging="709"/>
        <w:jc w:val="both"/>
        <w:rPr>
          <w:i/>
          <w:color w:val="000000"/>
          <w:sz w:val="24"/>
          <w:szCs w:val="24"/>
        </w:rPr>
      </w:pPr>
    </w:p>
    <w:p w:rsidR="00885E46" w:rsidRPr="00885E46" w:rsidRDefault="00885E46" w:rsidP="00885E46">
      <w:pPr>
        <w:pStyle w:val="Eaoaeaa"/>
        <w:widowControl/>
        <w:ind w:left="709" w:hanging="709"/>
        <w:jc w:val="both"/>
        <w:rPr>
          <w:i/>
          <w:color w:val="000000"/>
          <w:sz w:val="24"/>
          <w:szCs w:val="24"/>
        </w:rPr>
      </w:pPr>
      <w:proofErr w:type="spellStart"/>
      <w:r w:rsidRPr="00885E46">
        <w:rPr>
          <w:sz w:val="24"/>
          <w:szCs w:val="24"/>
        </w:rPr>
        <w:t>Fama</w:t>
      </w:r>
      <w:proofErr w:type="spellEnd"/>
      <w:r w:rsidRPr="00885E46">
        <w:rPr>
          <w:sz w:val="24"/>
          <w:szCs w:val="24"/>
        </w:rPr>
        <w:t xml:space="preserve">, E. F. (1970) Efficient capital </w:t>
      </w:r>
      <w:proofErr w:type="spellStart"/>
      <w:r w:rsidRPr="00885E46">
        <w:rPr>
          <w:sz w:val="24"/>
          <w:szCs w:val="24"/>
        </w:rPr>
        <w:t>market</w:t>
      </w:r>
      <w:proofErr w:type="gramStart"/>
      <w:r w:rsidRPr="00885E46">
        <w:rPr>
          <w:sz w:val="24"/>
          <w:szCs w:val="24"/>
        </w:rPr>
        <w:t>:A</w:t>
      </w:r>
      <w:proofErr w:type="spellEnd"/>
      <w:proofErr w:type="gramEnd"/>
      <w:r w:rsidRPr="00885E46">
        <w:rPr>
          <w:sz w:val="24"/>
          <w:szCs w:val="24"/>
        </w:rPr>
        <w:t xml:space="preserve"> review of theory and </w:t>
      </w:r>
      <w:proofErr w:type="spellStart"/>
      <w:r w:rsidRPr="00885E46">
        <w:rPr>
          <w:sz w:val="24"/>
          <w:szCs w:val="24"/>
        </w:rPr>
        <w:t>emprical</w:t>
      </w:r>
      <w:proofErr w:type="spellEnd"/>
      <w:r w:rsidRPr="00885E46">
        <w:rPr>
          <w:sz w:val="24"/>
          <w:szCs w:val="24"/>
        </w:rPr>
        <w:t xml:space="preserve"> work. </w:t>
      </w:r>
      <w:proofErr w:type="gramStart"/>
      <w:r w:rsidRPr="00885E46">
        <w:rPr>
          <w:i/>
          <w:sz w:val="24"/>
          <w:szCs w:val="24"/>
        </w:rPr>
        <w:t>Journal of finance 25</w:t>
      </w:r>
      <w:r w:rsidRPr="00885E46">
        <w:rPr>
          <w:sz w:val="24"/>
          <w:szCs w:val="24"/>
        </w:rPr>
        <w:t>, No. 2.</w:t>
      </w:r>
      <w:proofErr w:type="gramEnd"/>
    </w:p>
    <w:p w:rsidR="00885E46" w:rsidRPr="00885E46" w:rsidRDefault="00885E46" w:rsidP="00885E46">
      <w:pPr>
        <w:pStyle w:val="Eaoaeaa"/>
        <w:widowControl/>
        <w:ind w:left="709" w:hanging="709"/>
        <w:jc w:val="both"/>
        <w:rPr>
          <w:i/>
          <w:color w:val="000000"/>
          <w:sz w:val="24"/>
          <w:szCs w:val="24"/>
        </w:rPr>
      </w:pPr>
    </w:p>
    <w:p w:rsidR="00885E46" w:rsidRPr="00885E46" w:rsidRDefault="00885E46" w:rsidP="00885E46">
      <w:pPr>
        <w:pStyle w:val="Eaoaeaa"/>
        <w:widowControl/>
        <w:ind w:left="709" w:hanging="709"/>
        <w:jc w:val="both"/>
        <w:rPr>
          <w:sz w:val="24"/>
          <w:szCs w:val="24"/>
        </w:rPr>
      </w:pPr>
      <w:r w:rsidRPr="00885E46">
        <w:rPr>
          <w:sz w:val="24"/>
          <w:szCs w:val="24"/>
        </w:rPr>
        <w:t xml:space="preserve">King M. A. &amp; </w:t>
      </w:r>
      <w:proofErr w:type="spellStart"/>
      <w:r w:rsidRPr="00885E46">
        <w:rPr>
          <w:sz w:val="24"/>
          <w:szCs w:val="24"/>
        </w:rPr>
        <w:t>Wadhwani</w:t>
      </w:r>
      <w:proofErr w:type="spellEnd"/>
      <w:r w:rsidRPr="00885E46">
        <w:rPr>
          <w:sz w:val="24"/>
          <w:szCs w:val="24"/>
        </w:rPr>
        <w:t xml:space="preserve">, S. (1990) Transmission of volatility between stock markets. </w:t>
      </w:r>
      <w:r w:rsidRPr="00885E46">
        <w:rPr>
          <w:i/>
          <w:sz w:val="24"/>
          <w:szCs w:val="24"/>
        </w:rPr>
        <w:t>The Review of Financial Studies 3/1</w:t>
      </w:r>
      <w:r w:rsidRPr="00885E46">
        <w:rPr>
          <w:sz w:val="24"/>
          <w:szCs w:val="24"/>
        </w:rPr>
        <w:t xml:space="preserve">, </w:t>
      </w:r>
    </w:p>
    <w:p w:rsidR="00885E46" w:rsidRPr="00885E46" w:rsidRDefault="00885E46" w:rsidP="00885E46">
      <w:pPr>
        <w:pStyle w:val="Eaoaeaa"/>
        <w:widowControl/>
        <w:ind w:left="709" w:hanging="709"/>
        <w:jc w:val="both"/>
        <w:rPr>
          <w:sz w:val="24"/>
          <w:szCs w:val="24"/>
        </w:rPr>
      </w:pPr>
    </w:p>
    <w:p w:rsidR="00885E46" w:rsidRPr="00885E46" w:rsidRDefault="00885E46" w:rsidP="00885E46">
      <w:pPr>
        <w:pStyle w:val="Eaoaeaa"/>
        <w:widowControl/>
        <w:ind w:left="709" w:hanging="709"/>
        <w:jc w:val="both"/>
        <w:rPr>
          <w:sz w:val="24"/>
          <w:szCs w:val="24"/>
        </w:rPr>
      </w:pPr>
      <w:r w:rsidRPr="00885E46">
        <w:rPr>
          <w:sz w:val="24"/>
          <w:szCs w:val="24"/>
        </w:rPr>
        <w:t xml:space="preserve">Lev, B. &amp; </w:t>
      </w:r>
      <w:proofErr w:type="spellStart"/>
      <w:r w:rsidRPr="00885E46">
        <w:rPr>
          <w:sz w:val="24"/>
          <w:szCs w:val="24"/>
        </w:rPr>
        <w:t>Thiagarajan</w:t>
      </w:r>
      <w:proofErr w:type="spellEnd"/>
      <w:r w:rsidRPr="00885E46">
        <w:rPr>
          <w:sz w:val="24"/>
          <w:szCs w:val="24"/>
        </w:rPr>
        <w:t>, R</w:t>
      </w:r>
      <w:proofErr w:type="gramStart"/>
      <w:r w:rsidRPr="00885E46">
        <w:rPr>
          <w:sz w:val="24"/>
          <w:szCs w:val="24"/>
        </w:rPr>
        <w:t>.(</w:t>
      </w:r>
      <w:proofErr w:type="gramEnd"/>
      <w:r w:rsidRPr="00885E46">
        <w:rPr>
          <w:sz w:val="24"/>
          <w:szCs w:val="24"/>
        </w:rPr>
        <w:t xml:space="preserve">1993). </w:t>
      </w:r>
      <w:proofErr w:type="gramStart"/>
      <w:r w:rsidRPr="00885E46">
        <w:rPr>
          <w:sz w:val="24"/>
          <w:szCs w:val="24"/>
        </w:rPr>
        <w:t>Fundamental information analysis.</w:t>
      </w:r>
      <w:proofErr w:type="gramEnd"/>
      <w:r w:rsidRPr="00885E46">
        <w:rPr>
          <w:sz w:val="24"/>
          <w:szCs w:val="24"/>
        </w:rPr>
        <w:t xml:space="preserve"> </w:t>
      </w:r>
      <w:r w:rsidRPr="00885E46">
        <w:rPr>
          <w:i/>
          <w:sz w:val="24"/>
          <w:szCs w:val="24"/>
        </w:rPr>
        <w:t>Journal of Accounting Research 31</w:t>
      </w:r>
      <w:r w:rsidRPr="00885E46">
        <w:rPr>
          <w:sz w:val="24"/>
          <w:szCs w:val="24"/>
        </w:rPr>
        <w:t>, 190-215</w:t>
      </w:r>
    </w:p>
    <w:p w:rsidR="00885E46" w:rsidRPr="00885E46" w:rsidRDefault="00885E46" w:rsidP="00885E46">
      <w:pPr>
        <w:pStyle w:val="Eaoaeaa"/>
        <w:widowControl/>
        <w:ind w:left="709" w:hanging="709"/>
        <w:jc w:val="both"/>
        <w:rPr>
          <w:sz w:val="24"/>
          <w:szCs w:val="24"/>
        </w:rPr>
      </w:pPr>
    </w:p>
    <w:p w:rsidR="00885E46" w:rsidRPr="00885E46" w:rsidRDefault="00885E46" w:rsidP="00885E46">
      <w:pPr>
        <w:pStyle w:val="Eaoaeaa"/>
        <w:widowControl/>
        <w:ind w:left="709" w:hanging="709"/>
        <w:jc w:val="both"/>
        <w:rPr>
          <w:sz w:val="24"/>
          <w:szCs w:val="24"/>
        </w:rPr>
      </w:pPr>
      <w:proofErr w:type="spellStart"/>
      <w:r w:rsidRPr="00885E46">
        <w:rPr>
          <w:sz w:val="24"/>
          <w:szCs w:val="24"/>
        </w:rPr>
        <w:t>Longin</w:t>
      </w:r>
      <w:proofErr w:type="spellEnd"/>
      <w:r w:rsidRPr="00885E46">
        <w:rPr>
          <w:sz w:val="24"/>
          <w:szCs w:val="24"/>
        </w:rPr>
        <w:t xml:space="preserve">, F. M. &amp; </w:t>
      </w:r>
      <w:proofErr w:type="spellStart"/>
      <w:r w:rsidRPr="00885E46">
        <w:rPr>
          <w:sz w:val="24"/>
          <w:szCs w:val="24"/>
        </w:rPr>
        <w:t>Solnik</w:t>
      </w:r>
      <w:proofErr w:type="spellEnd"/>
      <w:r w:rsidRPr="00885E46">
        <w:rPr>
          <w:sz w:val="24"/>
          <w:szCs w:val="24"/>
        </w:rPr>
        <w:t xml:space="preserve"> B</w:t>
      </w:r>
      <w:proofErr w:type="gramStart"/>
      <w:r w:rsidRPr="00885E46">
        <w:rPr>
          <w:sz w:val="24"/>
          <w:szCs w:val="24"/>
        </w:rPr>
        <w:t>.(</w:t>
      </w:r>
      <w:proofErr w:type="gramEnd"/>
      <w:r w:rsidRPr="00885E46">
        <w:rPr>
          <w:sz w:val="24"/>
          <w:szCs w:val="24"/>
        </w:rPr>
        <w:t xml:space="preserve">2001) Extreme correlations of international equity markets during extremely volatile periods. Journal </w:t>
      </w:r>
      <w:r w:rsidRPr="00885E46">
        <w:rPr>
          <w:i/>
          <w:sz w:val="24"/>
          <w:szCs w:val="24"/>
        </w:rPr>
        <w:t>of Finance 56</w:t>
      </w:r>
      <w:r w:rsidRPr="00885E46">
        <w:rPr>
          <w:sz w:val="24"/>
          <w:szCs w:val="24"/>
        </w:rPr>
        <w:t xml:space="preserve">, </w:t>
      </w:r>
    </w:p>
    <w:p w:rsidR="00885E46" w:rsidRPr="00885E46" w:rsidRDefault="00885E46" w:rsidP="00885E46">
      <w:pPr>
        <w:pStyle w:val="Eaoaeaa"/>
        <w:widowControl/>
        <w:ind w:left="709" w:hanging="709"/>
        <w:jc w:val="both"/>
        <w:rPr>
          <w:sz w:val="24"/>
          <w:szCs w:val="24"/>
        </w:rPr>
      </w:pPr>
    </w:p>
    <w:p w:rsidR="00885E46" w:rsidRPr="00885E46" w:rsidRDefault="00885E46" w:rsidP="00885E46">
      <w:pPr>
        <w:ind w:left="709" w:hanging="709"/>
        <w:jc w:val="both"/>
        <w:rPr>
          <w:lang w:val="en-US"/>
        </w:rPr>
      </w:pPr>
      <w:proofErr w:type="spellStart"/>
      <w:r w:rsidRPr="00885E46">
        <w:rPr>
          <w:lang w:val="en-US"/>
        </w:rPr>
        <w:t>Michaely</w:t>
      </w:r>
      <w:proofErr w:type="spellEnd"/>
      <w:r w:rsidRPr="00885E46">
        <w:rPr>
          <w:lang w:val="en-US"/>
        </w:rPr>
        <w:t xml:space="preserve">, R., </w:t>
      </w:r>
      <w:proofErr w:type="spellStart"/>
      <w:r w:rsidRPr="00885E46">
        <w:rPr>
          <w:lang w:val="en-US"/>
        </w:rPr>
        <w:t>Thaler</w:t>
      </w:r>
      <w:proofErr w:type="spellEnd"/>
      <w:r w:rsidRPr="00885E46">
        <w:rPr>
          <w:lang w:val="en-US"/>
        </w:rPr>
        <w:t xml:space="preserve">, R., Womack, K. (1995) Price reactions to dividend initiations and omissions: overreaction or drift. </w:t>
      </w:r>
      <w:r w:rsidRPr="00885E46">
        <w:rPr>
          <w:i/>
          <w:lang w:val="en-US"/>
        </w:rPr>
        <w:t>Journal of Finance 50</w:t>
      </w:r>
      <w:r w:rsidRPr="00885E46">
        <w:rPr>
          <w:lang w:val="en-US"/>
        </w:rPr>
        <w:t>, 997-997</w:t>
      </w:r>
    </w:p>
    <w:p w:rsidR="00885E46" w:rsidRPr="00885E46" w:rsidRDefault="00885E46" w:rsidP="00885E46">
      <w:pPr>
        <w:ind w:left="709" w:hanging="709"/>
        <w:jc w:val="both"/>
        <w:rPr>
          <w:lang w:val="en-US"/>
        </w:rPr>
      </w:pPr>
    </w:p>
    <w:p w:rsidR="00885E46" w:rsidRPr="00885E46" w:rsidRDefault="00885E46" w:rsidP="00885E46">
      <w:pPr>
        <w:autoSpaceDE w:val="0"/>
        <w:autoSpaceDN w:val="0"/>
        <w:adjustRightInd w:val="0"/>
        <w:ind w:left="709" w:hanging="709"/>
        <w:jc w:val="both"/>
        <w:rPr>
          <w:lang w:val="en-US"/>
        </w:rPr>
      </w:pPr>
      <w:proofErr w:type="spellStart"/>
      <w:r w:rsidRPr="00885E46">
        <w:rPr>
          <w:lang w:val="en-US"/>
        </w:rPr>
        <w:t>Ou</w:t>
      </w:r>
      <w:proofErr w:type="spellEnd"/>
      <w:r w:rsidRPr="00885E46">
        <w:rPr>
          <w:lang w:val="en-US"/>
        </w:rPr>
        <w:t>, J., Penman, S</w:t>
      </w:r>
      <w:proofErr w:type="gramStart"/>
      <w:r w:rsidRPr="00885E46">
        <w:rPr>
          <w:lang w:val="en-US"/>
        </w:rPr>
        <w:t>.(</w:t>
      </w:r>
      <w:proofErr w:type="gramEnd"/>
      <w:r w:rsidRPr="00885E46">
        <w:rPr>
          <w:lang w:val="en-US"/>
        </w:rPr>
        <w:t xml:space="preserve">1989) Financial statement analysis and the prediction of stock returns. </w:t>
      </w:r>
      <w:r w:rsidRPr="00885E46">
        <w:rPr>
          <w:i/>
          <w:lang w:val="en-US"/>
        </w:rPr>
        <w:t>Journal of Accounting &amp; Economics 11</w:t>
      </w:r>
      <w:r w:rsidRPr="00885E46">
        <w:rPr>
          <w:lang w:val="en-US"/>
        </w:rPr>
        <w:t>, 295-329</w:t>
      </w:r>
    </w:p>
    <w:p w:rsidR="00885E46" w:rsidRPr="00885E46" w:rsidRDefault="00885E46" w:rsidP="00885E46">
      <w:pPr>
        <w:autoSpaceDE w:val="0"/>
        <w:autoSpaceDN w:val="0"/>
        <w:adjustRightInd w:val="0"/>
        <w:ind w:left="709" w:hanging="709"/>
        <w:jc w:val="both"/>
        <w:rPr>
          <w:lang w:val="en-US"/>
        </w:rPr>
      </w:pPr>
    </w:p>
    <w:p w:rsidR="00885E46" w:rsidRPr="00885E46" w:rsidRDefault="00885E46" w:rsidP="00885E46">
      <w:pPr>
        <w:autoSpaceDE w:val="0"/>
        <w:autoSpaceDN w:val="0"/>
        <w:adjustRightInd w:val="0"/>
        <w:ind w:left="709" w:hanging="709"/>
        <w:jc w:val="both"/>
        <w:rPr>
          <w:lang w:val="en-US"/>
        </w:rPr>
      </w:pPr>
      <w:proofErr w:type="spellStart"/>
      <w:proofErr w:type="gramStart"/>
      <w:r w:rsidRPr="00885E46">
        <w:rPr>
          <w:lang w:val="en-US"/>
        </w:rPr>
        <w:t>Piotroski</w:t>
      </w:r>
      <w:proofErr w:type="spellEnd"/>
      <w:r w:rsidRPr="00885E46">
        <w:rPr>
          <w:lang w:val="en-US"/>
        </w:rPr>
        <w:t>, J. (2000) Value investing: The use of historical financial statement information to separate winners from losers.</w:t>
      </w:r>
      <w:proofErr w:type="gramEnd"/>
      <w:r w:rsidRPr="00885E46">
        <w:rPr>
          <w:lang w:val="en-US"/>
        </w:rPr>
        <w:t xml:space="preserve"> </w:t>
      </w:r>
      <w:r w:rsidRPr="00885E46">
        <w:rPr>
          <w:i/>
          <w:lang w:val="en-US"/>
        </w:rPr>
        <w:t>Journal of Accounting Research</w:t>
      </w:r>
      <w:r w:rsidRPr="00885E46">
        <w:rPr>
          <w:lang w:val="en-US"/>
        </w:rPr>
        <w:t xml:space="preserve"> </w:t>
      </w:r>
    </w:p>
    <w:p w:rsidR="00885E46" w:rsidRPr="00885E46" w:rsidRDefault="00885E46" w:rsidP="00885E46">
      <w:pPr>
        <w:jc w:val="both"/>
        <w:rPr>
          <w:lang w:val="en-US"/>
        </w:rPr>
      </w:pPr>
    </w:p>
    <w:p w:rsidR="005C4FF0" w:rsidRPr="00885E46" w:rsidRDefault="005C4FF0" w:rsidP="00885E46">
      <w:pPr>
        <w:jc w:val="both"/>
        <w:rPr>
          <w:noProof/>
          <w:lang w:val="en-US"/>
        </w:rPr>
      </w:pPr>
    </w:p>
    <w:sectPr w:rsidR="005C4FF0" w:rsidRPr="00885E46" w:rsidSect="00E514F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454" w:footer="454" w:gutter="0"/>
      <w:pgNumType w:start="1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48" w:rsidRDefault="00EA7048" w:rsidP="00446838">
      <w:r>
        <w:separator/>
      </w:r>
    </w:p>
  </w:endnote>
  <w:endnote w:type="continuationSeparator" w:id="0">
    <w:p w:rsidR="00EA7048" w:rsidRDefault="00EA7048"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F0" w:rsidRDefault="00E514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4" w:name="_GoBack" w:displacedByCustomXml="prev"/>
      <w:bookmarkEnd w:id="4" w:displacedByCustomXml="prev"/>
      <w:p w:rsidR="00AA63F6" w:rsidRDefault="00EE59E4">
        <w:pPr>
          <w:pStyle w:val="Footer"/>
          <w:jc w:val="center"/>
        </w:pPr>
        <w:r>
          <w:rPr>
            <w:noProof/>
            <w:lang w:val="en-US" w:eastAsia="en-US"/>
          </w:rPr>
          <mc:AlternateContent>
            <mc:Choice Requires="wps">
              <w:drawing>
                <wp:inline distT="0" distB="0" distL="0" distR="0" wp14:anchorId="3C7B8CD5" wp14:editId="6AD6AE54">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E514F0">
          <w:rPr>
            <w:noProof/>
          </w:rPr>
          <w:t>180</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F0" w:rsidRDefault="00E51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48" w:rsidRDefault="00EA7048" w:rsidP="00446838">
      <w:r>
        <w:separator/>
      </w:r>
    </w:p>
  </w:footnote>
  <w:footnote w:type="continuationSeparator" w:id="0">
    <w:p w:rsidR="00EA7048" w:rsidRDefault="00EA7048"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F0" w:rsidRDefault="00E5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F0" w:rsidRDefault="00E51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B4A99"/>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85E46"/>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666"/>
    <w:rsid w:val="00CF6CB5"/>
    <w:rsid w:val="00D75E58"/>
    <w:rsid w:val="00D76E5E"/>
    <w:rsid w:val="00DA014E"/>
    <w:rsid w:val="00DC0765"/>
    <w:rsid w:val="00DC4BDD"/>
    <w:rsid w:val="00E13C86"/>
    <w:rsid w:val="00E368BA"/>
    <w:rsid w:val="00E514F0"/>
    <w:rsid w:val="00E53C78"/>
    <w:rsid w:val="00E916D0"/>
    <w:rsid w:val="00E941B4"/>
    <w:rsid w:val="00EA7048"/>
    <w:rsid w:val="00EE1A90"/>
    <w:rsid w:val="00EE59E4"/>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Eaoaeaa">
    <w:name w:val="Eaoae?aa"/>
    <w:basedOn w:val="Normal"/>
    <w:rsid w:val="00885E46"/>
    <w:pPr>
      <w:widowControl w:val="0"/>
      <w:tabs>
        <w:tab w:val="center" w:pos="4153"/>
        <w:tab w:val="right" w:pos="8306"/>
      </w:tabs>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Eaoaeaa">
    <w:name w:val="Eaoae?aa"/>
    <w:basedOn w:val="Normal"/>
    <w:rsid w:val="00885E46"/>
    <w:pPr>
      <w:widowControl w:val="0"/>
      <w:tabs>
        <w:tab w:val="center" w:pos="4153"/>
        <w:tab w:val="right" w:pos="8306"/>
      </w:tabs>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is.dzanic@bih.net.ba"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2567</Words>
  <Characters>14636</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4</cp:revision>
  <dcterms:created xsi:type="dcterms:W3CDTF">2013-06-25T20:53:00Z</dcterms:created>
  <dcterms:modified xsi:type="dcterms:W3CDTF">2013-06-27T00:40:00Z</dcterms:modified>
</cp:coreProperties>
</file>