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F5" w:rsidRPr="009B18A1" w:rsidRDefault="00ED7EF5" w:rsidP="00ED7EF5">
      <w:pPr>
        <w:pStyle w:val="Default"/>
        <w:jc w:val="center"/>
        <w:outlineLvl w:val="0"/>
        <w:rPr>
          <w:b/>
          <w:color w:val="auto"/>
        </w:rPr>
      </w:pPr>
      <w:bookmarkStart w:id="0" w:name="_Toc353455717"/>
      <w:r w:rsidRPr="009B18A1">
        <w:rPr>
          <w:b/>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16.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b/>
          <w:color w:val="auto"/>
        </w:rPr>
        <w:t xml:space="preserve">Information Passing in </w:t>
      </w:r>
      <w:proofErr w:type="spellStart"/>
      <w:r w:rsidRPr="009B18A1">
        <w:rPr>
          <w:b/>
          <w:color w:val="auto"/>
        </w:rPr>
        <w:t>Polycode</w:t>
      </w:r>
      <w:proofErr w:type="spellEnd"/>
      <w:r w:rsidRPr="009B18A1">
        <w:rPr>
          <w:b/>
          <w:color w:val="auto"/>
        </w:rPr>
        <w:t xml:space="preserve"> Advertising Texts</w:t>
      </w:r>
      <w:bookmarkEnd w:id="0"/>
    </w:p>
    <w:p w:rsidR="00ED7EF5" w:rsidRPr="009B18A1" w:rsidRDefault="00ED7EF5" w:rsidP="00ED7EF5">
      <w:pPr>
        <w:spacing w:after="0" w:line="240" w:lineRule="auto"/>
        <w:jc w:val="center"/>
        <w:rPr>
          <w:rFonts w:ascii="Times New Roman" w:hAnsi="Times New Roman" w:cs="Times New Roman"/>
          <w:b/>
          <w:sz w:val="20"/>
          <w:szCs w:val="20"/>
        </w:rPr>
      </w:pPr>
    </w:p>
    <w:p w:rsidR="00ED7EF5" w:rsidRPr="009B18A1" w:rsidRDefault="00ED7EF5" w:rsidP="00ED7EF5">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Elena </w:t>
      </w:r>
      <w:proofErr w:type="spellStart"/>
      <w:r w:rsidRPr="009B18A1">
        <w:rPr>
          <w:rFonts w:ascii="Times New Roman" w:hAnsi="Times New Roman" w:cs="Times New Roman"/>
          <w:b/>
          <w:sz w:val="20"/>
          <w:szCs w:val="20"/>
        </w:rPr>
        <w:t>Kulikova</w:t>
      </w:r>
      <w:proofErr w:type="spellEnd"/>
    </w:p>
    <w:p w:rsidR="00ED7EF5" w:rsidRPr="009B18A1" w:rsidRDefault="00ED7EF5" w:rsidP="00ED7EF5">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Lobachevsky</w:t>
      </w:r>
      <w:proofErr w:type="spellEnd"/>
      <w:r w:rsidRPr="009B18A1">
        <w:rPr>
          <w:rFonts w:ascii="Times New Roman" w:hAnsi="Times New Roman" w:cs="Times New Roman"/>
          <w:i/>
          <w:sz w:val="20"/>
          <w:szCs w:val="20"/>
        </w:rPr>
        <w:t xml:space="preserve"> State University of </w:t>
      </w:r>
      <w:proofErr w:type="spellStart"/>
      <w:r w:rsidRPr="009B18A1">
        <w:rPr>
          <w:rFonts w:ascii="Times New Roman" w:hAnsi="Times New Roman" w:cs="Times New Roman"/>
          <w:i/>
          <w:sz w:val="20"/>
          <w:szCs w:val="20"/>
        </w:rPr>
        <w:t>Nizhni</w:t>
      </w:r>
      <w:proofErr w:type="spellEnd"/>
      <w:r w:rsidRPr="009B18A1">
        <w:rPr>
          <w:rFonts w:ascii="Times New Roman" w:hAnsi="Times New Roman" w:cs="Times New Roman"/>
          <w:i/>
          <w:sz w:val="20"/>
          <w:szCs w:val="20"/>
        </w:rPr>
        <w:t xml:space="preserve"> Novgorod/ Russia</w:t>
      </w:r>
    </w:p>
    <w:p w:rsidR="00ED7EF5" w:rsidRPr="009B18A1" w:rsidRDefault="00ED7EF5" w:rsidP="00ED7EF5">
      <w:pPr>
        <w:spacing w:after="0" w:line="240" w:lineRule="auto"/>
        <w:rPr>
          <w:rFonts w:ascii="Times New Roman" w:hAnsi="Times New Roman" w:cs="Times New Roman"/>
          <w:b/>
          <w:sz w:val="20"/>
          <w:szCs w:val="20"/>
        </w:rPr>
      </w:pPr>
    </w:p>
    <w:p w:rsidR="00ED7EF5" w:rsidRPr="009B18A1" w:rsidRDefault="00ED7EF5" w:rsidP="00ED7EF5">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polycode</w:t>
      </w:r>
      <w:proofErr w:type="spellEnd"/>
      <w:r w:rsidRPr="009B18A1">
        <w:rPr>
          <w:rFonts w:ascii="Times New Roman" w:hAnsi="Times New Roman" w:cs="Times New Roman"/>
          <w:sz w:val="20"/>
          <w:szCs w:val="20"/>
        </w:rPr>
        <w:t xml:space="preserve"> advertising text, precedential phenomena</w:t>
      </w:r>
    </w:p>
    <w:p w:rsidR="00ED7EF5" w:rsidRPr="009B18A1" w:rsidRDefault="00ED7EF5" w:rsidP="00ED7EF5">
      <w:pPr>
        <w:spacing w:after="0" w:line="240" w:lineRule="auto"/>
        <w:jc w:val="center"/>
        <w:rPr>
          <w:rFonts w:ascii="Times New Roman" w:hAnsi="Times New Roman" w:cs="Times New Roman"/>
          <w:sz w:val="20"/>
          <w:szCs w:val="20"/>
        </w:rPr>
      </w:pPr>
    </w:p>
    <w:p w:rsidR="00ED7EF5" w:rsidRPr="009B18A1" w:rsidRDefault="00ED7EF5" w:rsidP="00ED7EF5">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D7EF5" w:rsidRPr="009B18A1" w:rsidRDefault="00ED7EF5" w:rsidP="00ED7EF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perception of a text, as a coherent unit made up of elements of different semiotic systems, is influenced by verbal and non-verbal elements. Linguists use different terms to name such a combination: creolized text, </w:t>
      </w:r>
      <w:proofErr w:type="spellStart"/>
      <w:r w:rsidRPr="009B18A1">
        <w:rPr>
          <w:rFonts w:ascii="Times New Roman" w:hAnsi="Times New Roman" w:cs="Times New Roman"/>
          <w:sz w:val="20"/>
          <w:szCs w:val="20"/>
        </w:rPr>
        <w:t>polycode</w:t>
      </w:r>
      <w:proofErr w:type="spellEnd"/>
      <w:r w:rsidRPr="009B18A1">
        <w:rPr>
          <w:rFonts w:ascii="Times New Roman" w:hAnsi="Times New Roman" w:cs="Times New Roman"/>
          <w:sz w:val="20"/>
          <w:szCs w:val="20"/>
        </w:rPr>
        <w:t xml:space="preserve"> text etc. A </w:t>
      </w:r>
      <w:proofErr w:type="spellStart"/>
      <w:r w:rsidRPr="009B18A1">
        <w:rPr>
          <w:rFonts w:ascii="Times New Roman" w:hAnsi="Times New Roman" w:cs="Times New Roman"/>
          <w:sz w:val="20"/>
          <w:szCs w:val="20"/>
        </w:rPr>
        <w:t>polycode</w:t>
      </w:r>
      <w:proofErr w:type="spellEnd"/>
      <w:r w:rsidRPr="009B18A1">
        <w:rPr>
          <w:rFonts w:ascii="Times New Roman" w:hAnsi="Times New Roman" w:cs="Times New Roman"/>
          <w:sz w:val="20"/>
          <w:szCs w:val="20"/>
        </w:rPr>
        <w:t xml:space="preserve"> text is interpreted as a complex textual formation in which verbal and nonverbal elements constitute a single whole in visual, structural, semantic and functional aspects, and which is aimed at a complex influence on recipients. The paper’s objective is to examine precedential phenomena functioning in </w:t>
      </w:r>
      <w:proofErr w:type="spellStart"/>
      <w:r w:rsidRPr="009B18A1">
        <w:rPr>
          <w:rFonts w:ascii="Times New Roman" w:hAnsi="Times New Roman" w:cs="Times New Roman"/>
          <w:sz w:val="20"/>
          <w:szCs w:val="20"/>
        </w:rPr>
        <w:t>polycode</w:t>
      </w:r>
      <w:proofErr w:type="spellEnd"/>
      <w:r w:rsidRPr="009B18A1">
        <w:rPr>
          <w:rFonts w:ascii="Times New Roman" w:hAnsi="Times New Roman" w:cs="Times New Roman"/>
          <w:sz w:val="20"/>
          <w:szCs w:val="20"/>
        </w:rPr>
        <w:t xml:space="preserve"> advertising texts and to show that the organic interaction between precedential phenomena and visual components is used in advertizing texts as a means of enhancing a pragmatic effect on an audience.</w:t>
      </w:r>
    </w:p>
    <w:p w:rsidR="00ED7EF5" w:rsidRPr="009B18A1" w:rsidRDefault="00ED7EF5" w:rsidP="00ED7EF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Precedential phenomena are phenomena that are important to an individual in cognitive and emotional aspects, have an over individual character, i.e. also well-known to a broad circle of this individual, repeatedly used in this individual discourse. The range of precedential phenomena used in print advertisements is wide. They are precedential phrases (quotations, set expressions, lines from well-known songs etc.) and names that are verbal phenomena, and also precedential texts and situations that belong to phenomena which can be verbalized by means of symbols presented by precedential names and phrases.</w:t>
      </w:r>
    </w:p>
    <w:p w:rsidR="00ED7EF5" w:rsidRPr="009B18A1" w:rsidRDefault="00ED7EF5" w:rsidP="00ED7EF5">
      <w:pPr>
        <w:spacing w:after="0" w:line="240" w:lineRule="auto"/>
        <w:jc w:val="both"/>
        <w:rPr>
          <w:rFonts w:ascii="Times New Roman" w:hAnsi="Times New Roman" w:cs="Times New Roman"/>
          <w:sz w:val="20"/>
          <w:szCs w:val="20"/>
        </w:rPr>
      </w:pPr>
    </w:p>
    <w:p w:rsidR="00ED7EF5" w:rsidRPr="009B18A1" w:rsidRDefault="00ED7EF5" w:rsidP="00ED7EF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We examined two transformation types of precedential phenomena: semantic (double actualization) and structural-semantic (insert, component substitution, contamination, role inversion). Under the study of these types, semantic transformations proved to be more powerful than structural-semantic in accordance with their emotional, cognitive and pragmatic aspects. </w:t>
      </w:r>
    </w:p>
    <w:p w:rsidR="00ED7EF5" w:rsidRPr="009B18A1" w:rsidRDefault="00ED7EF5" w:rsidP="00ED7EF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Non-verbal components are especially important when recipients are not able to form a clear picture of goods in their minds on the basis of verbal components. </w:t>
      </w:r>
    </w:p>
    <w:p w:rsidR="00ED7EF5" w:rsidRPr="009B18A1" w:rsidRDefault="00ED7EF5" w:rsidP="00ED7EF5">
      <w:pPr>
        <w:spacing w:after="0" w:line="240" w:lineRule="auto"/>
        <w:rPr>
          <w:rFonts w:ascii="Times New Roman" w:hAnsi="Times New Roman" w:cs="Times New Roman"/>
          <w:sz w:val="20"/>
          <w:szCs w:val="20"/>
        </w:rPr>
      </w:pPr>
    </w:p>
    <w:p w:rsidR="00ED7EF5" w:rsidRPr="009B18A1" w:rsidRDefault="00ED7EF5" w:rsidP="00ED7EF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Thus, through a combination of verbal and nonverbal codes during information passing a key advertising idea begins to "work", contributing to the promotion of goods and services in the market, expanding audiences.</w:t>
      </w:r>
    </w:p>
    <w:p w:rsidR="00CB3A7A" w:rsidRDefault="00CB3A7A"/>
    <w:sectPr w:rsidR="00CB3A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D7EF5"/>
    <w:rsid w:val="00CB3A7A"/>
    <w:rsid w:val="00ED7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EF5"/>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2013-05-22T14:43:00Z</dcterms:created>
  <dcterms:modified xsi:type="dcterms:W3CDTF">2013-05-22T14:44:00Z</dcterms:modified>
</cp:coreProperties>
</file>