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E2" w:rsidRPr="003472E2" w:rsidRDefault="003472E2" w:rsidP="003472E2">
      <w:pPr>
        <w:pStyle w:val="Heading1"/>
        <w:spacing w:before="0"/>
        <w:jc w:val="center"/>
        <w:rPr>
          <w:rFonts w:ascii="Adobe Garamond Pro" w:hAnsi="Adobe Garamond Pro" w:cs="Times New Roman"/>
          <w:b w:val="0"/>
          <w:color w:val="000000" w:themeColor="text1"/>
          <w:sz w:val="24"/>
          <w:szCs w:val="24"/>
        </w:rPr>
      </w:pPr>
      <w:bookmarkStart w:id="0" w:name="_Toc353455437"/>
      <w:r w:rsidRPr="003472E2">
        <w:rPr>
          <w:rFonts w:ascii="Adobe Garamond Pro" w:hAnsi="Adobe Garamond Pro" w:cs="Times New Roman"/>
          <w:color w:val="000000" w:themeColor="text1"/>
          <w:sz w:val="24"/>
          <w:szCs w:val="24"/>
        </w:rPr>
        <w:t>English for Employability Project</w:t>
      </w:r>
      <w:bookmarkEnd w:id="0"/>
    </w:p>
    <w:p w:rsidR="003472E2" w:rsidRPr="003472E2" w:rsidRDefault="003472E2" w:rsidP="003472E2">
      <w:pPr>
        <w:spacing w:after="0" w:line="240" w:lineRule="auto"/>
        <w:jc w:val="center"/>
        <w:rPr>
          <w:rFonts w:ascii="Adobe Garamond Pro" w:hAnsi="Adobe Garamond Pro" w:cs="Times New Roman"/>
          <w:b/>
          <w:sz w:val="24"/>
          <w:szCs w:val="24"/>
        </w:rPr>
      </w:pPr>
      <w:r w:rsidRPr="003472E2">
        <w:rPr>
          <w:rFonts w:ascii="Adobe Garamond Pro" w:hAnsi="Adobe Garamond Pro"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18" o:spid="_x0000_s1026" type="#_x0000_t32" style="position:absolute;left:0;text-align:left;margin-left:-.15pt;margin-top:1.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6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"/>
        </w:pict>
      </w:r>
    </w:p>
    <w:p w:rsidR="003472E2" w:rsidRPr="003472E2" w:rsidRDefault="003472E2" w:rsidP="003472E2">
      <w:pPr>
        <w:spacing w:after="0" w:line="240" w:lineRule="auto"/>
        <w:jc w:val="center"/>
        <w:rPr>
          <w:rFonts w:ascii="Adobe Garamond Pro" w:hAnsi="Adobe Garamond Pro" w:cs="Times New Roman"/>
          <w:b/>
          <w:sz w:val="24"/>
          <w:szCs w:val="24"/>
        </w:rPr>
      </w:pPr>
      <w:r w:rsidRPr="003472E2">
        <w:rPr>
          <w:rFonts w:ascii="Adobe Garamond Pro" w:hAnsi="Adobe Garamond Pro" w:cs="Times New Roman"/>
          <w:b/>
          <w:sz w:val="24"/>
          <w:szCs w:val="24"/>
        </w:rPr>
        <w:t>Adel Ali</w:t>
      </w:r>
    </w:p>
    <w:p w:rsidR="003472E2" w:rsidRPr="003472E2" w:rsidRDefault="003472E2" w:rsidP="003472E2">
      <w:pPr>
        <w:spacing w:after="0" w:line="240" w:lineRule="auto"/>
        <w:jc w:val="center"/>
        <w:rPr>
          <w:rFonts w:ascii="Adobe Garamond Pro" w:hAnsi="Adobe Garamond Pro" w:cs="Times New Roman"/>
          <w:i/>
          <w:sz w:val="24"/>
          <w:szCs w:val="24"/>
        </w:rPr>
      </w:pPr>
      <w:r w:rsidRPr="003472E2">
        <w:rPr>
          <w:rFonts w:ascii="Adobe Garamond Pro" w:hAnsi="Adobe Garamond Pro" w:cs="Times New Roman"/>
          <w:i/>
          <w:sz w:val="24"/>
          <w:szCs w:val="24"/>
        </w:rPr>
        <w:t>Tunisian Agency for Vocational Education / Tunisia</w:t>
      </w:r>
    </w:p>
    <w:p w:rsidR="003472E2" w:rsidRPr="003472E2" w:rsidRDefault="003472E2" w:rsidP="003472E2">
      <w:pPr>
        <w:spacing w:after="0" w:line="240" w:lineRule="auto"/>
        <w:jc w:val="center"/>
        <w:rPr>
          <w:rFonts w:ascii="Adobe Garamond Pro" w:hAnsi="Adobe Garamond Pro" w:cs="Times New Roman"/>
          <w:sz w:val="24"/>
          <w:szCs w:val="24"/>
        </w:rPr>
      </w:pPr>
    </w:p>
    <w:p w:rsidR="003472E2" w:rsidRPr="003472E2" w:rsidRDefault="003472E2" w:rsidP="003472E2">
      <w:pPr>
        <w:spacing w:after="0" w:line="240" w:lineRule="auto"/>
        <w:jc w:val="center"/>
        <w:rPr>
          <w:rFonts w:ascii="Adobe Garamond Pro" w:hAnsi="Adobe Garamond Pro" w:cs="Times New Roman"/>
          <w:sz w:val="24"/>
          <w:szCs w:val="24"/>
        </w:rPr>
      </w:pPr>
      <w:r w:rsidRPr="003472E2">
        <w:rPr>
          <w:rFonts w:ascii="Adobe Garamond Pro" w:hAnsi="Adobe Garamond Pro" w:cs="Times New Roman"/>
          <w:sz w:val="24"/>
          <w:szCs w:val="24"/>
        </w:rPr>
        <w:t>ABSTRACT</w:t>
      </w:r>
    </w:p>
    <w:p w:rsidR="003472E2" w:rsidRPr="003472E2" w:rsidRDefault="003472E2" w:rsidP="003472E2">
      <w:pPr>
        <w:spacing w:after="0" w:line="240" w:lineRule="auto"/>
        <w:jc w:val="both"/>
        <w:rPr>
          <w:rFonts w:ascii="Adobe Garamond Pro" w:hAnsi="Adobe Garamond Pro" w:cs="Times New Roman"/>
          <w:sz w:val="24"/>
          <w:szCs w:val="24"/>
        </w:rPr>
      </w:pPr>
      <w:r w:rsidRPr="003472E2">
        <w:rPr>
          <w:rFonts w:ascii="Adobe Garamond Pro" w:hAnsi="Adobe Garamond Pro" w:cs="Times New Roman"/>
          <w:sz w:val="24"/>
          <w:szCs w:val="24"/>
        </w:rPr>
        <w:t>My abstract will be about The English for Employability project. The project was run through a partnership between the British council and the ATFP and aimed to enhance the quality of vocational English training and through this the employment prospects for Tunisian youth in vocational education. The ultimate goal of this project is to improve the quality of professional development, in particular teacher training, in the vocational education sector by building trainer capacity at the national level. The program, which contributed immensely in boosting our career and open new horizons to us, consisted of the following key phases: phase 1: teacher training, phase 2: Train the trainer, phase 3: Curriculum development and Materials design while phase deals with mentoring and shadowing.</w:t>
      </w:r>
    </w:p>
    <w:p w:rsidR="003472E2" w:rsidRPr="003472E2" w:rsidRDefault="003472E2" w:rsidP="003472E2">
      <w:pPr>
        <w:spacing w:after="0" w:line="240" w:lineRule="auto"/>
        <w:jc w:val="both"/>
        <w:rPr>
          <w:rFonts w:ascii="Adobe Garamond Pro" w:hAnsi="Adobe Garamond Pro" w:cs="Times New Roman"/>
          <w:sz w:val="24"/>
          <w:szCs w:val="24"/>
        </w:rPr>
      </w:pPr>
      <w:r w:rsidRPr="003472E2">
        <w:rPr>
          <w:rFonts w:ascii="Adobe Garamond Pro" w:hAnsi="Adobe Garamond Pro" w:cs="Times New Roman"/>
          <w:sz w:val="24"/>
          <w:szCs w:val="24"/>
        </w:rPr>
        <w:t xml:space="preserve">In my abstract, I will show the impact of the training we had on the quality of our teaching especially in our context of operation in the vocational training sector. Teaching ESP with a huge variety of fields without any coaching or training was a real challenge to us. One of the main problems we were suffering from in the ESP context was the lack of specialized material as well as the inability of the trainers to design the material appropriate to the needs of the learners. This reflected negatively both on the performance of the trainers as well as on our products, who are the learners. Here came the intervention and the input of the British council whose output gave us the confidence needed to carry on </w:t>
      </w:r>
    </w:p>
    <w:p w:rsidR="004F78CC" w:rsidRPr="003472E2" w:rsidRDefault="004F78CC">
      <w:pPr>
        <w:rPr>
          <w:sz w:val="24"/>
          <w:szCs w:val="24"/>
        </w:rPr>
      </w:pPr>
    </w:p>
    <w:sectPr w:rsidR="004F78CC" w:rsidRPr="00347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472E2"/>
    <w:rsid w:val="003472E2"/>
    <w:rsid w:val="004F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2013-05-22T09:06:00Z</dcterms:created>
  <dcterms:modified xsi:type="dcterms:W3CDTF">2013-05-22T09:06:00Z</dcterms:modified>
</cp:coreProperties>
</file>